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6A" w:rsidRPr="00524FC9" w:rsidRDefault="00724A6A" w:rsidP="000147C8">
      <w:pPr>
        <w:spacing w:after="0" w:line="242" w:lineRule="auto"/>
        <w:jc w:val="center"/>
        <w:rPr>
          <w:rFonts w:ascii="Cambria" w:hAnsi="Cambria"/>
          <w:bCs/>
          <w:noProof/>
          <w:spacing w:val="2"/>
          <w:sz w:val="23"/>
          <w:szCs w:val="24"/>
        </w:rPr>
      </w:pPr>
      <w:bookmarkStart w:id="0" w:name="_GoBack"/>
      <w:bookmarkEnd w:id="0"/>
    </w:p>
    <w:p w:rsidR="00344934" w:rsidRPr="00524FC9" w:rsidRDefault="00724A6A" w:rsidP="00F07349">
      <w:pPr>
        <w:spacing w:after="0" w:line="242" w:lineRule="auto"/>
        <w:jc w:val="center"/>
        <w:rPr>
          <w:rFonts w:ascii="Cambria" w:hAnsi="Cambria"/>
          <w:b/>
          <w:noProof/>
          <w:spacing w:val="2"/>
          <w:sz w:val="24"/>
          <w:szCs w:val="24"/>
        </w:rPr>
      </w:pP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Ə</w:t>
      </w:r>
      <w:r w:rsidR="00344934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RDAHAN</w:t>
      </w:r>
      <w:r w:rsidR="000D0FDF" w:rsidRPr="00524FC9">
        <w:rPr>
          <w:rFonts w:ascii="Cambria" w:hAnsi="Cambria"/>
          <w:b/>
          <w:bCs/>
          <w:noProof/>
          <w:spacing w:val="2"/>
          <w:sz w:val="24"/>
          <w:szCs w:val="24"/>
        </w:rPr>
        <w:t xml:space="preserve"> </w:t>
      </w: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U</w:t>
      </w:r>
      <w:r w:rsidR="00344934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NİV</w:t>
      </w:r>
      <w:r w:rsidR="001E2D5E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E</w:t>
      </w:r>
      <w:r w:rsidR="00344934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RSİT</w:t>
      </w:r>
      <w:r w:rsidR="001E2D5E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E</w:t>
      </w: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T</w:t>
      </w:r>
      <w:r w:rsidR="00344934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İ</w:t>
      </w:r>
    </w:p>
    <w:p w:rsidR="00750175" w:rsidRPr="00524FC9" w:rsidRDefault="00724A6A" w:rsidP="00F07349">
      <w:pPr>
        <w:spacing w:after="0" w:line="242" w:lineRule="auto"/>
        <w:jc w:val="center"/>
        <w:rPr>
          <w:rFonts w:ascii="Cambria" w:hAnsi="Cambria"/>
          <w:b/>
          <w:bCs/>
          <w:noProof/>
          <w:spacing w:val="2"/>
          <w:sz w:val="24"/>
          <w:szCs w:val="24"/>
        </w:rPr>
      </w:pP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XARİCİ</w:t>
      </w:r>
      <w:r w:rsidR="000D0FDF" w:rsidRPr="00524FC9">
        <w:rPr>
          <w:rFonts w:ascii="Cambria" w:hAnsi="Cambria"/>
          <w:b/>
          <w:bCs/>
          <w:noProof/>
          <w:spacing w:val="2"/>
          <w:sz w:val="24"/>
          <w:szCs w:val="24"/>
        </w:rPr>
        <w:t xml:space="preserve"> </w:t>
      </w: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ÖLKƏ</w:t>
      </w:r>
      <w:r w:rsidR="000D0FDF" w:rsidRPr="00524FC9">
        <w:rPr>
          <w:rFonts w:ascii="Cambria" w:hAnsi="Cambria"/>
          <w:b/>
          <w:bCs/>
          <w:noProof/>
          <w:spacing w:val="2"/>
          <w:sz w:val="24"/>
          <w:szCs w:val="24"/>
        </w:rPr>
        <w:t xml:space="preserve"> </w:t>
      </w:r>
      <w:r w:rsidR="00750175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VƏTƏNDAŞ</w:t>
      </w:r>
      <w:r w:rsidR="00F57530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LAR</w:t>
      </w:r>
      <w:r w:rsidR="00750175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I</w:t>
      </w:r>
      <w:r w:rsidR="000D0FDF" w:rsidRPr="00524FC9">
        <w:rPr>
          <w:rFonts w:ascii="Cambria" w:hAnsi="Cambria"/>
          <w:b/>
          <w:bCs/>
          <w:noProof/>
          <w:spacing w:val="2"/>
          <w:sz w:val="24"/>
          <w:szCs w:val="24"/>
        </w:rPr>
        <w:t xml:space="preserve"> </w:t>
      </w:r>
      <w:r w:rsidR="004D11A1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OLAN</w:t>
      </w:r>
      <w:r w:rsidR="000D0FDF" w:rsidRPr="00524FC9">
        <w:rPr>
          <w:rFonts w:ascii="Cambria" w:hAnsi="Cambria"/>
          <w:b/>
          <w:bCs/>
          <w:noProof/>
          <w:spacing w:val="2"/>
          <w:sz w:val="24"/>
          <w:szCs w:val="24"/>
        </w:rPr>
        <w:t xml:space="preserve"> </w:t>
      </w: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TƏLƏBƏLƏRİN</w:t>
      </w:r>
    </w:p>
    <w:p w:rsidR="00344934" w:rsidRPr="00524FC9" w:rsidRDefault="00724A6A" w:rsidP="00F07349">
      <w:pPr>
        <w:spacing w:after="0" w:line="242" w:lineRule="auto"/>
        <w:jc w:val="center"/>
        <w:rPr>
          <w:rFonts w:ascii="Cambria" w:hAnsi="Cambria"/>
          <w:b/>
          <w:bCs/>
          <w:noProof/>
          <w:spacing w:val="2"/>
          <w:sz w:val="24"/>
          <w:szCs w:val="24"/>
        </w:rPr>
      </w:pP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MÜRACİƏT</w:t>
      </w:r>
      <w:r w:rsidR="00344934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,</w:t>
      </w:r>
      <w:r w:rsidR="000D0FDF" w:rsidRPr="00524FC9">
        <w:rPr>
          <w:rFonts w:ascii="Cambria" w:hAnsi="Cambria"/>
          <w:b/>
          <w:bCs/>
          <w:noProof/>
          <w:spacing w:val="2"/>
          <w:sz w:val="24"/>
          <w:szCs w:val="24"/>
        </w:rPr>
        <w:t xml:space="preserve"> </w:t>
      </w: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QƏ</w:t>
      </w:r>
      <w:r w:rsidR="00344934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BUL</w:t>
      </w:r>
      <w:r w:rsidR="000D0FDF" w:rsidRPr="00524FC9">
        <w:rPr>
          <w:rFonts w:ascii="Cambria" w:hAnsi="Cambria"/>
          <w:b/>
          <w:bCs/>
          <w:noProof/>
          <w:spacing w:val="2"/>
          <w:sz w:val="24"/>
          <w:szCs w:val="24"/>
        </w:rPr>
        <w:t xml:space="preserve"> </w:t>
      </w:r>
      <w:r w:rsidR="00344934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V</w:t>
      </w: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Ə</w:t>
      </w:r>
      <w:r w:rsidR="000D0FDF" w:rsidRPr="00524FC9">
        <w:rPr>
          <w:rFonts w:ascii="Cambria" w:hAnsi="Cambria"/>
          <w:b/>
          <w:bCs/>
          <w:noProof/>
          <w:spacing w:val="2"/>
          <w:sz w:val="24"/>
          <w:szCs w:val="24"/>
        </w:rPr>
        <w:t xml:space="preserve"> </w:t>
      </w: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Q</w:t>
      </w:r>
      <w:r w:rsidR="001E2D5E" w:rsidRPr="00524FC9">
        <w:rPr>
          <w:rFonts w:ascii="Cambria" w:hAnsi="Cambria"/>
          <w:b/>
          <w:bCs/>
          <w:noProof/>
          <w:spacing w:val="2"/>
          <w:sz w:val="24"/>
          <w:szCs w:val="24"/>
        </w:rPr>
        <w:t>E</w:t>
      </w: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YDİYYAT</w:t>
      </w:r>
      <w:r w:rsidR="000D0FDF" w:rsidRPr="00524FC9">
        <w:rPr>
          <w:rFonts w:ascii="Cambria" w:hAnsi="Cambria"/>
          <w:b/>
          <w:bCs/>
          <w:noProof/>
          <w:spacing w:val="2"/>
          <w:sz w:val="24"/>
          <w:szCs w:val="24"/>
        </w:rPr>
        <w:t xml:space="preserve"> </w:t>
      </w:r>
      <w:r w:rsidRPr="00524FC9">
        <w:rPr>
          <w:rFonts w:ascii="Cambria" w:hAnsi="Cambria"/>
          <w:b/>
          <w:bCs/>
          <w:noProof/>
          <w:spacing w:val="2"/>
          <w:sz w:val="24"/>
          <w:szCs w:val="24"/>
        </w:rPr>
        <w:t>ŞƏRTLƏRİ</w:t>
      </w:r>
    </w:p>
    <w:p w:rsidR="00750175" w:rsidRPr="00524FC9" w:rsidRDefault="00750175" w:rsidP="00F07349">
      <w:pPr>
        <w:spacing w:after="0" w:line="242" w:lineRule="auto"/>
        <w:jc w:val="both"/>
        <w:rPr>
          <w:rFonts w:ascii="Cambria" w:hAnsi="Cambria" w:cs="Times New Roman"/>
          <w:bCs/>
          <w:noProof/>
          <w:spacing w:val="2"/>
          <w:sz w:val="23"/>
          <w:szCs w:val="24"/>
        </w:rPr>
      </w:pPr>
    </w:p>
    <w:p w:rsidR="00344934" w:rsidRPr="00524FC9" w:rsidRDefault="00724A6A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3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3"/>
        </w:rPr>
        <w:t>MÜRACİƏT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3"/>
        </w:rPr>
        <w:t xml:space="preserve"> </w:t>
      </w:r>
      <w:r w:rsidR="001E2D5E" w:rsidRPr="00524FC9">
        <w:rPr>
          <w:rFonts w:ascii="Cambria" w:hAnsi="Cambria" w:cs="Times New Roman"/>
          <w:bCs/>
          <w:noProof/>
          <w:spacing w:val="2"/>
          <w:sz w:val="23"/>
          <w:szCs w:val="23"/>
        </w:rPr>
        <w:t>E</w:t>
      </w:r>
      <w:r w:rsidRPr="00524FC9">
        <w:rPr>
          <w:rFonts w:ascii="Cambria" w:hAnsi="Cambria" w:cs="Times New Roman"/>
          <w:bCs/>
          <w:noProof/>
          <w:spacing w:val="2"/>
          <w:sz w:val="23"/>
          <w:szCs w:val="23"/>
        </w:rPr>
        <w:t>DƏCƏK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3"/>
        </w:rPr>
        <w:t xml:space="preserve"> </w:t>
      </w:r>
      <w:r w:rsidR="007552BC" w:rsidRPr="00524FC9">
        <w:rPr>
          <w:rFonts w:ascii="Cambria" w:hAnsi="Cambria" w:cs="Times New Roman"/>
          <w:bCs/>
          <w:noProof/>
          <w:spacing w:val="2"/>
          <w:sz w:val="23"/>
          <w:szCs w:val="23"/>
        </w:rPr>
        <w:t>ABİTURİYENTL</w:t>
      </w:r>
      <w:r w:rsidR="007552BC" w:rsidRPr="00524FC9">
        <w:rPr>
          <w:rFonts w:ascii="Cambria" w:hAnsi="Cambria"/>
          <w:bCs/>
          <w:noProof/>
          <w:spacing w:val="2"/>
          <w:sz w:val="23"/>
          <w:szCs w:val="23"/>
        </w:rPr>
        <w:t>Ə</w:t>
      </w:r>
      <w:r w:rsidR="007552BC" w:rsidRPr="00524FC9">
        <w:rPr>
          <w:rFonts w:ascii="Cambria" w:hAnsi="Cambria" w:cs="Times New Roman"/>
          <w:bCs/>
          <w:noProof/>
          <w:spacing w:val="2"/>
          <w:sz w:val="23"/>
          <w:szCs w:val="23"/>
        </w:rPr>
        <w:t>RİN</w:t>
      </w:r>
    </w:p>
    <w:p w:rsidR="003D06D9" w:rsidRPr="00524FC9" w:rsidRDefault="003D06D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344934" w:rsidRPr="00524FC9" w:rsidRDefault="00344934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(1)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Ölkə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dahilindən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ölkə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xaricindən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müraciətlər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U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niv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rsit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smi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w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əhifəsi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üz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rind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-posta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vasitəsilə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aparılacaqdır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Müraciət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müddətində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gerçəkləşdirilməyən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müraciətlər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4A6A" w:rsidRPr="00524FC9">
        <w:rPr>
          <w:rFonts w:ascii="Cambria" w:hAnsi="Cambria" w:cs="Times New Roman"/>
          <w:noProof/>
          <w:spacing w:val="2"/>
          <w:sz w:val="23"/>
          <w:szCs w:val="24"/>
        </w:rPr>
        <w:t>qə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olunmayacaqdır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3D06D9" w:rsidRPr="00524FC9" w:rsidRDefault="003D06D9" w:rsidP="00F07349">
      <w:pPr>
        <w:spacing w:after="0" w:line="242" w:lineRule="auto"/>
        <w:jc w:val="both"/>
        <w:rPr>
          <w:rFonts w:ascii="Cambria" w:hAnsi="Cambria" w:cs="Times New Roman"/>
          <w:bCs/>
          <w:noProof/>
          <w:spacing w:val="2"/>
          <w:sz w:val="23"/>
          <w:szCs w:val="24"/>
        </w:rPr>
      </w:pPr>
    </w:p>
    <w:p w:rsidR="00344934" w:rsidRPr="00524FC9" w:rsidRDefault="00344934" w:rsidP="00F07349">
      <w:pPr>
        <w:spacing w:after="0" w:line="242" w:lineRule="auto"/>
        <w:jc w:val="both"/>
        <w:rPr>
          <w:rFonts w:ascii="Cambria" w:hAnsi="Cambria" w:cs="Times New Roman"/>
          <w:bCs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(2)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Mürac</w:t>
      </w:r>
      <w:r w:rsidR="00750175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i</w:t>
      </w:r>
      <w:r w:rsidR="001E2D5E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ət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edəcək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 xml:space="preserve"> </w:t>
      </w:r>
      <w:r w:rsidR="007552BC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abituriyent</w:t>
      </w:r>
      <w:r w:rsidR="001E2D5E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lərin</w:t>
      </w: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:</w:t>
      </w:r>
    </w:p>
    <w:p w:rsidR="003D06D9" w:rsidRPr="00524FC9" w:rsidRDefault="003D06D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344934" w:rsidRPr="00524FC9" w:rsidRDefault="00344934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Li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ey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07DFD" w:rsidRPr="00524FC9">
        <w:rPr>
          <w:rFonts w:ascii="Cambria" w:hAnsi="Cambria" w:cs="Times New Roman"/>
          <w:noProof/>
          <w:spacing w:val="2"/>
          <w:sz w:val="23"/>
          <w:szCs w:val="24"/>
        </w:rPr>
        <w:t>(orta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07DFD" w:rsidRPr="00524FC9">
        <w:rPr>
          <w:rFonts w:ascii="Cambria" w:hAnsi="Cambria" w:cs="Times New Roman"/>
          <w:noProof/>
          <w:spacing w:val="2"/>
          <w:sz w:val="23"/>
          <w:szCs w:val="24"/>
        </w:rPr>
        <w:t>məktəb)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son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nf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olmaları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zun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durumda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ol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maları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şərtiylə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;</w:t>
      </w:r>
    </w:p>
    <w:p w:rsidR="00344934" w:rsidRPr="00524FC9" w:rsidRDefault="00344934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1)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Xarici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ölkə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vətəndaşları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olanların,</w:t>
      </w:r>
    </w:p>
    <w:p w:rsidR="00344934" w:rsidRPr="00524FC9" w:rsidRDefault="00344934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2)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Doğumla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ndaşı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olu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Daxili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İşlər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Nazirliyi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ndaşlığından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çı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x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izni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alanlar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bunların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ndaşlığından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çı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x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sənədində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qeydiyyatlı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həddi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buluğa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çatmamış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u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şaqlarının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ndaşlığı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anunu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uyğun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olaraq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aldığı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Tanınan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H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üquq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lar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İstifadə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Haqqında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sənəd</w:t>
      </w:r>
      <w:r w:rsidR="004D11A1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4D11A1" w:rsidRPr="00524FC9">
        <w:rPr>
          <w:rFonts w:ascii="Cambria" w:hAnsi="Cambria" w:cs="Times New Roman"/>
          <w:noProof/>
          <w:spacing w:val="2"/>
          <w:sz w:val="23"/>
          <w:szCs w:val="24"/>
        </w:rPr>
        <w:t>malik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larını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sənədlə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təsdiq</w:t>
      </w:r>
      <w:r w:rsidR="00A07DFD" w:rsidRPr="00524FC9">
        <w:rPr>
          <w:rFonts w:ascii="Cambria" w:hAnsi="Cambria" w:cs="Times New Roman"/>
          <w:noProof/>
          <w:spacing w:val="2"/>
          <w:sz w:val="23"/>
          <w:szCs w:val="24"/>
        </w:rPr>
        <w:t>ləyənlərin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</w:p>
    <w:p w:rsidR="00344934" w:rsidRPr="00524FC9" w:rsidRDefault="00344934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3)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Xarici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ölkə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vətəndaşı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sonradan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azanılan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əndaşlıqla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ndaşlığına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ke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ç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/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bu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durumdak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ikili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vətəndaşların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</w:p>
    <w:p w:rsidR="00344934" w:rsidRPr="00524FC9" w:rsidRDefault="00344934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4)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vətəndaşı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olu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p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orta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təhsilini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hamısını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KKTC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(Quzey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ipr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Türk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x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ari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c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xarici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bir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ö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bitirənlərin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(orta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təhsilinin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hamısını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KT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xaricində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başqa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bir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ö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məktəblərində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bitirənlər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daxil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),</w:t>
      </w:r>
    </w:p>
    <w:p w:rsidR="00344934" w:rsidRPr="00524FC9" w:rsidRDefault="00344934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5)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KKTC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vətəndaşı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olu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KKTC</w:t>
      </w:r>
      <w:r w:rsidR="00F57530" w:rsidRPr="00524FC9">
        <w:rPr>
          <w:rFonts w:ascii="Cambria" w:hAnsi="Cambria" w:cs="Times New Roman"/>
          <w:noProof/>
          <w:spacing w:val="2"/>
          <w:sz w:val="23"/>
          <w:szCs w:val="24"/>
        </w:rPr>
        <w:t>-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yaşayan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KKTC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-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orta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təhsilini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tamamlayan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GC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(Th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G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C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rtificat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of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ducation-Advanc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nəticələrinə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malik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A73FD" w:rsidRPr="00524FC9">
        <w:rPr>
          <w:rFonts w:ascii="Cambria" w:hAnsi="Cambria" w:cs="Times New Roman"/>
          <w:noProof/>
          <w:spacing w:val="2"/>
          <w:sz w:val="23"/>
          <w:szCs w:val="24"/>
        </w:rPr>
        <w:t>olanlar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2005–</w:t>
      </w:r>
      <w:r w:rsidR="007E1738" w:rsidRPr="00524FC9">
        <w:rPr>
          <w:rFonts w:ascii="Cambria" w:hAnsi="Cambria" w:cs="Times New Roman"/>
          <w:noProof/>
          <w:spacing w:val="2"/>
          <w:sz w:val="23"/>
          <w:szCs w:val="24"/>
        </w:rPr>
        <w:t>2010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x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arasında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di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g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ö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kol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li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ey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qeydiyyat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keçib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alara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GC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nəticələrinə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olaca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qların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müraciətləri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qə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dilir.</w:t>
      </w:r>
    </w:p>
    <w:p w:rsidR="003D06D9" w:rsidRPr="00524FC9" w:rsidRDefault="003D06D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344934" w:rsidRPr="00524FC9" w:rsidRDefault="00344934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Abituriyent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lərdən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;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1)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97B93" w:rsidRPr="00524FC9">
        <w:rPr>
          <w:rFonts w:ascii="Cambria" w:hAnsi="Cambria" w:cs="Times New Roman"/>
          <w:noProof/>
          <w:spacing w:val="2"/>
          <w:sz w:val="23"/>
          <w:szCs w:val="24"/>
        </w:rPr>
        <w:t>vətəndaşı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olu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orta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təhsilinin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hamısını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Türkiy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KKTC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-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bitirənlərin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2)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KKTC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vətəndaşı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olanların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(orta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təhsilinin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hamısını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KKTC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li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ey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bitiri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GC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nəticələrinə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malik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olanlar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2005–2010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tarixləri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arasında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digər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ölkələrdəki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kol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ec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li</w:t>
      </w:r>
      <w:r w:rsidR="00750175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seylərə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qeydiyyat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keçib,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alaraq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GCE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nəticələrinə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olan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olacaqlar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istisnadır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),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3)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Bu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madd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2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-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ci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(a)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ndinin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saylı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ndind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müəyyən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edilən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doğumla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ilk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vətəndaşlığı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ikili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vətəndaşların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orta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təhsilinin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hamısını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KKTC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xaricində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başqa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bir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ölkədəki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Türk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məktəblərində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bitirənlər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/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orta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təhsilinin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hamısını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KKTC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xaricində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başqa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bir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ölkədə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bitirənlər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istisnadır)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4)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Vətəndaşlığından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birisi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KKTC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ikili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vətəndaşların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orta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təhsilinin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hamısını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KKTC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li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seylərində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bitirib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GCE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nəticələrinə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malik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olanlar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2005–2010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tarixləri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arasında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digər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ölkələrdəki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ko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lec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li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seylərə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qeydiyyat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keçib,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alaraq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GCE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nəticələrinə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olan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olacaqlar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istisnadır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),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5)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Türkiy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səfirliklər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nəzdindəki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C14FB" w:rsidRPr="00524FC9">
        <w:rPr>
          <w:rFonts w:ascii="Cambria" w:hAnsi="Cambria" w:cs="Times New Roman"/>
          <w:noProof/>
          <w:spacing w:val="2"/>
          <w:sz w:val="23"/>
          <w:szCs w:val="24"/>
        </w:rPr>
        <w:t>məktəblər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Türkiy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xarici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ölkə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lərin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li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ey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alan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vətəndaşı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bu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madd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2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-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ci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(a)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ndinin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saylı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ndind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müəyyənləşdirilən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doğumla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ilk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vətəndaşlığı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ikili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vətəndaşların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müraciətləri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qə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dilm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z.</w:t>
      </w:r>
    </w:p>
    <w:p w:rsidR="00D20CC0" w:rsidRPr="00524FC9" w:rsidRDefault="007552BC" w:rsidP="00F07349">
      <w:pPr>
        <w:spacing w:after="0" w:line="242" w:lineRule="auto"/>
        <w:jc w:val="both"/>
        <w:rPr>
          <w:rFonts w:ascii="Cambria" w:hAnsi="Cambria" w:cs="Times New Roman"/>
          <w:b/>
          <w:bCs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</w:t>
      </w:r>
      <w:r w:rsidR="00624E8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niv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e</w:t>
      </w:r>
      <w:r w:rsidR="00624E8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rsit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eti</w:t>
      </w:r>
      <w:r w:rsidR="00624E8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miz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624E8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624E8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624E8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f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</w:t>
      </w:r>
      <w:r w:rsidR="00624E8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nd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624E8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4D11A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10–11.09.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201</w:t>
      </w:r>
      <w:r w:rsidR="004D11A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8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tari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x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ind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keçiriləcək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ARÜYÖS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(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rdahan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niv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e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rsit</w:t>
      </w:r>
      <w:r w:rsidR="006C69D0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et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İmtahanı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)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başarılı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olan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abituriyent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lər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müraciət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edə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biləcəklər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.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Bu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imtahanda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m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l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Qabiliyyət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te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stind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40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bal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alma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q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g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klidir.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Türk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dili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te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sti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balı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y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e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rl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ş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d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irm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di</w:t>
      </w:r>
      <w:r w:rsidR="00AE7DF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qqə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4493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alınmaz.</w:t>
      </w:r>
    </w:p>
    <w:p w:rsidR="004E671C" w:rsidRPr="00524FC9" w:rsidRDefault="004E671C" w:rsidP="00F07349">
      <w:pPr>
        <w:spacing w:after="0" w:line="242" w:lineRule="auto"/>
        <w:jc w:val="both"/>
        <w:rPr>
          <w:rFonts w:ascii="Cambria" w:hAnsi="Cambria" w:cs="Times New Roman"/>
          <w:b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lastRenderedPageBreak/>
        <w:t>Ərdahan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Universitetinə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qeydiyyat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h</w:t>
      </w:r>
      <w:r w:rsidR="007552BC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aqqı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qazanan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abituriyentlərin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hamısına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7552BC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Ə</w:t>
      </w:r>
      <w:r w:rsidR="00CE44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rdahan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CE44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CE44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CE44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Öyrənim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CE44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Mərkəzi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7552BC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(TÖMER)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CE44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tərəfindən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CE44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CE44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yetərlilik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CE44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imtahanı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CE44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tətbiq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CE44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edilir.</w:t>
      </w:r>
    </w:p>
    <w:p w:rsidR="00CE4466" w:rsidRPr="00524FC9" w:rsidRDefault="00CE4466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yetərlilik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səviyyələri:</w:t>
      </w:r>
    </w:p>
    <w:p w:rsidR="00CE4466" w:rsidRPr="00524FC9" w:rsidRDefault="00CE4466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C1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C2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səviyyəsi: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səviyyəsi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kifayətdir.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Qeydiyyat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h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aqqı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qazandığı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proqrama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qeydiyyatı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gerçəkləşdirilir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CE4466" w:rsidRPr="00524FC9" w:rsidRDefault="00CE4466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B1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səviyyəsi: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səviyyəsi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kifayət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deyil,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ancaq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gəlişdirilə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bilər.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kursu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keçmək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şərtilə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qeydiyyat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h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aqqı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qazandığı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proqrama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qeydiyyatı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gerçəkləşdirilir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gec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üçüncü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təlim-tə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ris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ilinin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əvvəlinə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qədər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səviyyəsini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C1–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C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səviyyəsinə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yüksəltdiyini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sənədləşdirməlidir.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Bu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müddət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sonunda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Türkcəsi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hələ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B1–B2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səviyyəsində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olanlar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səviyyəsini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C1–C2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səviyyəsinə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A1D43" w:rsidRPr="00524FC9">
        <w:rPr>
          <w:rFonts w:ascii="Cambria" w:hAnsi="Cambria" w:cs="Times New Roman"/>
          <w:noProof/>
          <w:spacing w:val="2"/>
          <w:sz w:val="23"/>
          <w:szCs w:val="24"/>
        </w:rPr>
        <w:t>yüksəldənə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A1D43" w:rsidRPr="00524FC9">
        <w:rPr>
          <w:rFonts w:ascii="Cambria" w:hAnsi="Cambria" w:cs="Times New Roman"/>
          <w:noProof/>
          <w:spacing w:val="2"/>
          <w:sz w:val="23"/>
          <w:szCs w:val="24"/>
        </w:rPr>
        <w:t>qədər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A1D43" w:rsidRPr="00524FC9">
        <w:rPr>
          <w:rFonts w:ascii="Cambria" w:hAnsi="Cambria" w:cs="Times New Roman"/>
          <w:noProof/>
          <w:spacing w:val="2"/>
          <w:sz w:val="23"/>
          <w:szCs w:val="24"/>
        </w:rPr>
        <w:t>tədrisə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A1D43" w:rsidRPr="00524FC9">
        <w:rPr>
          <w:rFonts w:ascii="Cambria" w:hAnsi="Cambria" w:cs="Times New Roman"/>
          <w:noProof/>
          <w:spacing w:val="2"/>
          <w:sz w:val="23"/>
          <w:szCs w:val="24"/>
        </w:rPr>
        <w:t>davam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A1D43" w:rsidRPr="00524FC9">
        <w:rPr>
          <w:rFonts w:ascii="Cambria" w:hAnsi="Cambria" w:cs="Times New Roman"/>
          <w:noProof/>
          <w:spacing w:val="2"/>
          <w:sz w:val="23"/>
          <w:szCs w:val="24"/>
        </w:rPr>
        <w:t>edə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A1D43" w:rsidRPr="00524FC9">
        <w:rPr>
          <w:rFonts w:ascii="Cambria" w:hAnsi="Cambria" w:cs="Times New Roman"/>
          <w:noProof/>
          <w:spacing w:val="2"/>
          <w:sz w:val="23"/>
          <w:szCs w:val="24"/>
        </w:rPr>
        <w:t>bilməzlər.</w:t>
      </w:r>
    </w:p>
    <w:p w:rsidR="00006BD5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c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A1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A2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səviyyəsi: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səviyyəsi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yetərsizdir.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kursu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keçməlidir.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Bu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vəziyyətdə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olanlar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gec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üçüncü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təlim-tədris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ilinin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əvvəlinə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qədər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səviyyəsini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C1–C2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səviyyəsinə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yüksəltdiyini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sənədləşdirməlidir.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yetərlilik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səviyyəsini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C1–C2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səviyyəsinə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yüksəldənlərə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(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maddəsi,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B1–B2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səviyyəsinə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yüksəldənlərə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maddəsi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tətbiq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006BD5" w:rsidRPr="00524FC9">
        <w:rPr>
          <w:rFonts w:ascii="Cambria" w:hAnsi="Cambria" w:cs="Times New Roman"/>
          <w:noProof/>
          <w:spacing w:val="2"/>
          <w:sz w:val="23"/>
          <w:szCs w:val="24"/>
        </w:rPr>
        <w:t>olunur.</w:t>
      </w:r>
    </w:p>
    <w:p w:rsidR="00FD2DE9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tbl>
      <w:tblPr>
        <w:tblStyle w:val="TabloKlavuzu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115"/>
        <w:gridCol w:w="1213"/>
        <w:gridCol w:w="5057"/>
      </w:tblGrid>
      <w:tr w:rsidR="00006BD5" w:rsidRPr="00524FC9" w:rsidTr="000147C8">
        <w:trPr>
          <w:jc w:val="center"/>
        </w:trPr>
        <w:tc>
          <w:tcPr>
            <w:tcW w:w="2115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ArÜYÖS</w:t>
            </w:r>
            <w:r w:rsidR="000D0FDF"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 xml:space="preserve"> </w:t>
            </w: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Türkcə</w:t>
            </w:r>
            <w:r w:rsidR="000D0FDF"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 xml:space="preserve"> </w:t>
            </w: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dil</w:t>
            </w:r>
          </w:p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yetərlilik</w:t>
            </w:r>
            <w:r w:rsidR="000D0FDF"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 xml:space="preserve"> </w:t>
            </w: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səviyyələri</w:t>
            </w:r>
          </w:p>
        </w:tc>
        <w:tc>
          <w:tcPr>
            <w:tcW w:w="1213" w:type="dxa"/>
            <w:vAlign w:val="center"/>
          </w:tcPr>
          <w:p w:rsidR="00451CC3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qiymə</w:t>
            </w:r>
            <w:r w:rsidR="00451CC3"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t</w:t>
            </w:r>
          </w:p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aral</w:t>
            </w:r>
            <w:r w:rsidR="007552BC"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ı</w:t>
            </w: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qları</w:t>
            </w:r>
          </w:p>
        </w:tc>
        <w:tc>
          <w:tcPr>
            <w:tcW w:w="5057" w:type="dxa"/>
            <w:vAlign w:val="center"/>
          </w:tcPr>
          <w:p w:rsidR="00006BD5" w:rsidRPr="00524FC9" w:rsidRDefault="007552BC" w:rsidP="00F07349">
            <w:pPr>
              <w:spacing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izahlar</w:t>
            </w:r>
          </w:p>
        </w:tc>
      </w:tr>
      <w:tr w:rsidR="00006BD5" w:rsidRPr="00524FC9" w:rsidTr="000147C8">
        <w:trPr>
          <w:trHeight w:val="132"/>
          <w:jc w:val="center"/>
        </w:trPr>
        <w:tc>
          <w:tcPr>
            <w:tcW w:w="2115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C2</w:t>
            </w:r>
          </w:p>
        </w:tc>
        <w:tc>
          <w:tcPr>
            <w:tcW w:w="1213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90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–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100</w:t>
            </w:r>
          </w:p>
        </w:tc>
        <w:tc>
          <w:tcPr>
            <w:tcW w:w="5057" w:type="dxa"/>
            <w:vAlign w:val="center"/>
          </w:tcPr>
          <w:p w:rsidR="00006BD5" w:rsidRPr="00524FC9" w:rsidRDefault="00451CC3" w:rsidP="00F07349">
            <w:pPr>
              <w:spacing w:line="242" w:lineRule="auto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Türkçəsi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</w:t>
            </w:r>
            <w:r w:rsidR="00F07349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afidir</w:t>
            </w:r>
          </w:p>
        </w:tc>
      </w:tr>
      <w:tr w:rsidR="00006BD5" w:rsidRPr="00524FC9" w:rsidTr="000147C8">
        <w:trPr>
          <w:trHeight w:val="149"/>
          <w:jc w:val="center"/>
        </w:trPr>
        <w:tc>
          <w:tcPr>
            <w:tcW w:w="2115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C1</w:t>
            </w:r>
          </w:p>
        </w:tc>
        <w:tc>
          <w:tcPr>
            <w:tcW w:w="1213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80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–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89</w:t>
            </w:r>
          </w:p>
        </w:tc>
        <w:tc>
          <w:tcPr>
            <w:tcW w:w="5057" w:type="dxa"/>
            <w:vAlign w:val="center"/>
          </w:tcPr>
          <w:p w:rsidR="00006BD5" w:rsidRPr="00524FC9" w:rsidRDefault="00451CC3" w:rsidP="00F07349">
            <w:pPr>
              <w:spacing w:line="242" w:lineRule="auto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Türkçəsi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</w:t>
            </w:r>
            <w:r w:rsidR="00F07349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afidir</w:t>
            </w:r>
          </w:p>
        </w:tc>
      </w:tr>
      <w:tr w:rsidR="00006BD5" w:rsidRPr="00524FC9" w:rsidTr="000147C8">
        <w:trPr>
          <w:trHeight w:val="285"/>
          <w:jc w:val="center"/>
        </w:trPr>
        <w:tc>
          <w:tcPr>
            <w:tcW w:w="2115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B2</w:t>
            </w:r>
          </w:p>
        </w:tc>
        <w:tc>
          <w:tcPr>
            <w:tcW w:w="1213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65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–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79</w:t>
            </w:r>
          </w:p>
        </w:tc>
        <w:tc>
          <w:tcPr>
            <w:tcW w:w="5057" w:type="dxa"/>
            <w:vAlign w:val="center"/>
          </w:tcPr>
          <w:p w:rsidR="00006BD5" w:rsidRPr="00524FC9" w:rsidRDefault="00451CC3" w:rsidP="00F07349">
            <w:pPr>
              <w:spacing w:line="242" w:lineRule="auto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Türkçəsi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qısa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zamanda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="00F07349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kafi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vəziyyətə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gələ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bilər</w:t>
            </w:r>
          </w:p>
        </w:tc>
      </w:tr>
      <w:tr w:rsidR="00006BD5" w:rsidRPr="00524FC9" w:rsidTr="000147C8">
        <w:trPr>
          <w:jc w:val="center"/>
        </w:trPr>
        <w:tc>
          <w:tcPr>
            <w:tcW w:w="2115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B1</w:t>
            </w:r>
          </w:p>
        </w:tc>
        <w:tc>
          <w:tcPr>
            <w:tcW w:w="1213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50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–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64</w:t>
            </w:r>
          </w:p>
        </w:tc>
        <w:tc>
          <w:tcPr>
            <w:tcW w:w="5057" w:type="dxa"/>
            <w:vAlign w:val="center"/>
          </w:tcPr>
          <w:p w:rsidR="00006BD5" w:rsidRPr="00524FC9" w:rsidRDefault="00451CC3" w:rsidP="00F07349">
            <w:pPr>
              <w:spacing w:line="242" w:lineRule="auto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Türkçəsi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qısa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zamanda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="00F07349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kafi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vəziyyətə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gələ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bilər</w:t>
            </w:r>
          </w:p>
        </w:tc>
      </w:tr>
      <w:tr w:rsidR="00006BD5" w:rsidRPr="00524FC9" w:rsidTr="000147C8">
        <w:trPr>
          <w:jc w:val="center"/>
        </w:trPr>
        <w:tc>
          <w:tcPr>
            <w:tcW w:w="2115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A2</w:t>
            </w:r>
          </w:p>
        </w:tc>
        <w:tc>
          <w:tcPr>
            <w:tcW w:w="1213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25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–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49</w:t>
            </w:r>
          </w:p>
        </w:tc>
        <w:tc>
          <w:tcPr>
            <w:tcW w:w="5057" w:type="dxa"/>
            <w:vAlign w:val="center"/>
          </w:tcPr>
          <w:p w:rsidR="00006BD5" w:rsidRPr="00524FC9" w:rsidRDefault="00451CC3" w:rsidP="00F07349">
            <w:pPr>
              <w:spacing w:line="242" w:lineRule="auto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Türkçəsi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</w:t>
            </w:r>
            <w:r w:rsidR="00F07349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afi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deyildir</w:t>
            </w:r>
          </w:p>
        </w:tc>
      </w:tr>
      <w:tr w:rsidR="00006BD5" w:rsidRPr="00524FC9" w:rsidTr="000147C8">
        <w:trPr>
          <w:jc w:val="center"/>
        </w:trPr>
        <w:tc>
          <w:tcPr>
            <w:tcW w:w="2115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A1</w:t>
            </w:r>
          </w:p>
        </w:tc>
        <w:tc>
          <w:tcPr>
            <w:tcW w:w="1213" w:type="dxa"/>
            <w:vAlign w:val="center"/>
          </w:tcPr>
          <w:p w:rsidR="00006BD5" w:rsidRPr="00524FC9" w:rsidRDefault="00006BD5" w:rsidP="00F0734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0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–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24</w:t>
            </w:r>
          </w:p>
        </w:tc>
        <w:tc>
          <w:tcPr>
            <w:tcW w:w="5057" w:type="dxa"/>
            <w:vAlign w:val="center"/>
          </w:tcPr>
          <w:p w:rsidR="00006BD5" w:rsidRPr="00524FC9" w:rsidRDefault="00451CC3" w:rsidP="00F07349">
            <w:pPr>
              <w:spacing w:line="242" w:lineRule="auto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Türkçəsi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</w:t>
            </w:r>
            <w:r w:rsidR="00F07349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afi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deyildir</w:t>
            </w:r>
          </w:p>
        </w:tc>
      </w:tr>
    </w:tbl>
    <w:p w:rsidR="00006BD5" w:rsidRPr="00524FC9" w:rsidRDefault="00006BD5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SAT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imtahanından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1100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toplam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bal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600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riyaziyyat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balı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201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5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–</w:t>
      </w:r>
      <w:r w:rsidR="00DB491E" w:rsidRPr="00524FC9">
        <w:rPr>
          <w:rFonts w:ascii="Cambria" w:hAnsi="Cambria" w:cs="Times New Roman"/>
          <w:noProof/>
          <w:spacing w:val="2"/>
          <w:sz w:val="23"/>
          <w:szCs w:val="24"/>
        </w:rPr>
        <w:t>201</w:t>
      </w:r>
      <w:r w:rsidR="007552BC" w:rsidRPr="00524FC9">
        <w:rPr>
          <w:rFonts w:ascii="Cambria" w:hAnsi="Cambria" w:cs="Times New Roman"/>
          <w:noProof/>
          <w:spacing w:val="2"/>
          <w:sz w:val="23"/>
          <w:szCs w:val="24"/>
        </w:rPr>
        <w:t>7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-ci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illər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B491E" w:rsidRPr="00524FC9">
        <w:rPr>
          <w:rFonts w:ascii="Cambria" w:hAnsi="Cambria" w:cs="Times New Roman"/>
          <w:noProof/>
          <w:spacing w:val="2"/>
          <w:sz w:val="23"/>
          <w:szCs w:val="24"/>
        </w:rPr>
        <w:t>arasında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B491E" w:rsidRPr="00524FC9">
        <w:rPr>
          <w:rFonts w:ascii="Cambria" w:hAnsi="Cambria" w:cs="Times New Roman"/>
          <w:noProof/>
          <w:spacing w:val="2"/>
          <w:sz w:val="23"/>
          <w:szCs w:val="24"/>
        </w:rPr>
        <w:t>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DB491E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müddətlə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məhdud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olacaq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balı</w:t>
      </w:r>
      <w:r w:rsidR="00DB491E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GC</w:t>
      </w:r>
      <w:r w:rsidR="009C636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E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(A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l</w:t>
      </w:r>
      <w:r w:rsidR="009C636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v</w:t>
      </w:r>
      <w:r w:rsidR="009C636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l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imtahanında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biri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müraciət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edilən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pro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qram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əlaqədar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olma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üzr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3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mövzuda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səviyyəsi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</w:p>
    <w:p w:rsidR="00D20CC0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ACT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imtahanında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Riyaziyyat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(Math),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F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(Sci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nc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asoning)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toplam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(Composit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bal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olara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24,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İordaniya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F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stind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keçirilən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Tawjihi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larında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F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sahəsində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(Sci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ntific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Str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bütün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rsl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alınan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qiyməti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ortalaması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90,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iviya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keçirilən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Bakal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avriat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(Baccalaur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Libanais)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larında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f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sahəsində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(Sci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ntific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Str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diplom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balı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15,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Beynəlxalq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bakal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avriat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diplom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una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diplom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balı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30,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ABITUR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c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çox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3,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Matura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c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çox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3,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Suriy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keçirilən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Al-Shahada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Thanawiyya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(Baccalaur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at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ından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f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sahəsində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(Sci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ntific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Str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240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üz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müh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ndislik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fakült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bölüml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ü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ç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ü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190,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di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g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bölüml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ü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ç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ü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175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puan,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Fransız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Bakal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avriatı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diplom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balı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12,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Çin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Hal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keçirilən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Gaokao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müraciət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edilən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pro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ramın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bal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növündə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750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üz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540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bal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almış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olma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DA57FA" w:rsidRPr="00524FC9" w:rsidRDefault="00DA57FA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012941" w:rsidRPr="00524FC9" w:rsidRDefault="00FA052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0</w:t>
      </w:r>
      <w:r w:rsidR="004D11A1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7</w:t>
      </w: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.0</w:t>
      </w:r>
      <w:r w:rsidR="004D11A1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2</w:t>
      </w: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.201</w:t>
      </w:r>
      <w:r w:rsidR="004D11A1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0552"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4D11A1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4D11A1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4D11A1"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4D11A1"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U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niv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rsit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et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19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Mayıs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niv</w:t>
      </w:r>
      <w:r w:rsidR="009B256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rsit</w:t>
      </w:r>
      <w:r w:rsidR="009B256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et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imtahan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qə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dilm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012941" w:rsidRPr="00524FC9" w:rsidRDefault="004D11A1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07.0</w:t>
      </w:r>
      <w:r w:rsidR="009C0552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3</w:t>
      </w: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.2018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0552"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İstanbul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olduğuna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;</w:t>
      </w:r>
    </w:p>
    <w:p w:rsidR="003365EE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lastRenderedPageBreak/>
        <w:t>07.03.2018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Akd</w:t>
      </w:r>
      <w:r w:rsidR="003365EE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əniz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365EE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012941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26.06.2013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Osmangazi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olduğuna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;</w:t>
      </w:r>
    </w:p>
    <w:p w:rsidR="00012941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22.03.2017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Marmara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B3568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noProof/>
          <w:spacing w:val="2"/>
          <w:sz w:val="23"/>
          <w:szCs w:val="24"/>
        </w:rPr>
        <w:t>olduğuna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;</w:t>
      </w:r>
    </w:p>
    <w:p w:rsidR="00DE5AD8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09.03.2016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Atatürk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DE5AD8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20.02.2017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Kocaeli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DE5AD8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14.03.2017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Süleyman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Dəmirəl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uyğun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DE5AD8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07.02.2018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Dumlupınar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DE5AD8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20.02.2017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Mersin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DE5AD8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20.02.2017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Erciyes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DE5AD8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07.03.2017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İstanbul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G</w:t>
      </w:r>
      <w:r w:rsidR="00DE5AD8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edik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DE5AD8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11.05.2018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Ankara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DE5AD8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07.02.2018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Pamukkale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E5AD8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95558E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07.03.2018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Manisa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Celal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Bayar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95558E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10.04.2017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Mustafa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Kemal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95558E" w:rsidRPr="00524FC9" w:rsidRDefault="009C055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10.04.2017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Yüzüncü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Yıl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5558E"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9C0552" w:rsidRPr="00524FC9" w:rsidRDefault="009C0552" w:rsidP="009C0552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25.08.2017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Gebze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Teknik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9C0552" w:rsidRPr="00524FC9" w:rsidRDefault="009C0552" w:rsidP="009C0552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27.02.2017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Kastamonu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9C0552" w:rsidRPr="00524FC9" w:rsidRDefault="009C0552" w:rsidP="009C0552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lastRenderedPageBreak/>
        <w:t>07.02.2018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Uludağ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9C0552" w:rsidRPr="00524FC9" w:rsidRDefault="009C0552" w:rsidP="009C0552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19.04.2016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F16A5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Uşak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EF16A5" w:rsidRPr="00524FC9" w:rsidRDefault="00EF16A5" w:rsidP="00EF16A5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19.04.2016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İğdır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EF16A5" w:rsidRPr="00524FC9" w:rsidRDefault="00EF16A5" w:rsidP="00EF16A5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11.05.2018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İstanbul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Yeni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Yüzyıl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EF16A5" w:rsidRPr="00524FC9" w:rsidRDefault="00EF16A5" w:rsidP="00EF16A5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11.05.2018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Alanya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Alaaddin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Keykubat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EF16A5" w:rsidRPr="00524FC9" w:rsidRDefault="00EF16A5" w:rsidP="00EF16A5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11.05.2018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Recep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Tayyip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Erdoğan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EF16A5" w:rsidRPr="00524FC9" w:rsidRDefault="00EF16A5" w:rsidP="00EF16A5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>11.05.2018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tarixli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Senato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qərarı;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Erzurum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Teknik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Universiteti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edilməsinin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münasib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olduğuna;</w:t>
      </w:r>
    </w:p>
    <w:p w:rsidR="00012941" w:rsidRPr="00524FC9" w:rsidRDefault="009B256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rilmiş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ir.</w:t>
      </w:r>
    </w:p>
    <w:p w:rsidR="001B3568" w:rsidRPr="00524FC9" w:rsidRDefault="001B3568" w:rsidP="00F07349">
      <w:pPr>
        <w:spacing w:after="0" w:line="242" w:lineRule="auto"/>
        <w:jc w:val="both"/>
        <w:rPr>
          <w:rFonts w:ascii="Cambria" w:hAnsi="Cambria" w:cs="Times New Roman"/>
          <w:bCs/>
          <w:noProof/>
          <w:spacing w:val="2"/>
          <w:sz w:val="23"/>
          <w:szCs w:val="24"/>
        </w:rPr>
      </w:pPr>
    </w:p>
    <w:p w:rsidR="00344934" w:rsidRPr="00524FC9" w:rsidRDefault="003F2171" w:rsidP="00F07349">
      <w:pPr>
        <w:spacing w:after="0" w:line="242" w:lineRule="auto"/>
        <w:jc w:val="both"/>
        <w:rPr>
          <w:rFonts w:ascii="Cambria" w:hAnsi="Cambria" w:cs="Times New Roman"/>
          <w:b/>
          <w:bCs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AR</w:t>
      </w:r>
      <w:r w:rsidR="009B256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Ü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YÖS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İMTAHAN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ININ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9B256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MƏZMUNU</w:t>
      </w:r>
    </w:p>
    <w:p w:rsidR="00FD2DE9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3F2171" w:rsidRPr="00524FC9" w:rsidRDefault="009B2562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3F2171" w:rsidRPr="00524FC9">
        <w:rPr>
          <w:rFonts w:ascii="Cambria" w:hAnsi="Cambria" w:cs="Times New Roman"/>
          <w:noProof/>
          <w:spacing w:val="2"/>
          <w:sz w:val="23"/>
          <w:szCs w:val="24"/>
        </w:rPr>
        <w:t>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</w:t>
      </w:r>
      <w:r w:rsidR="003F2171" w:rsidRPr="00524FC9">
        <w:rPr>
          <w:rFonts w:ascii="Cambria" w:hAnsi="Cambria" w:cs="Times New Roman"/>
          <w:noProof/>
          <w:spacing w:val="2"/>
          <w:sz w:val="23"/>
          <w:szCs w:val="24"/>
        </w:rPr>
        <w:t>niv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3F2171" w:rsidRPr="00524FC9">
        <w:rPr>
          <w:rFonts w:ascii="Cambria" w:hAnsi="Cambria" w:cs="Times New Roman"/>
          <w:noProof/>
          <w:spacing w:val="2"/>
          <w:sz w:val="23"/>
          <w:szCs w:val="24"/>
        </w:rPr>
        <w:t>rsit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et</w:t>
      </w:r>
      <w:r w:rsidR="003F2171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F2171" w:rsidRPr="00524FC9">
        <w:rPr>
          <w:rFonts w:ascii="Cambria" w:hAnsi="Cambria" w:cs="Times New Roman"/>
          <w:noProof/>
          <w:spacing w:val="2"/>
          <w:sz w:val="23"/>
          <w:szCs w:val="24"/>
        </w:rPr>
        <w:t>S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3F2171" w:rsidRPr="00524FC9">
        <w:rPr>
          <w:rFonts w:ascii="Cambria" w:hAnsi="Cambria" w:cs="Times New Roman"/>
          <w:noProof/>
          <w:spacing w:val="2"/>
          <w:sz w:val="23"/>
          <w:szCs w:val="24"/>
        </w:rPr>
        <w:t>çm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9C6362" w:rsidRPr="00524FC9">
        <w:rPr>
          <w:rFonts w:ascii="Cambria" w:hAnsi="Cambria" w:cs="Times New Roman"/>
          <w:noProof/>
          <w:spacing w:val="2"/>
          <w:sz w:val="23"/>
          <w:szCs w:val="24"/>
        </w:rPr>
        <w:t>İmtahan</w:t>
      </w:r>
      <w:r w:rsidR="003F2171" w:rsidRPr="00524FC9">
        <w:rPr>
          <w:rFonts w:ascii="Cambria" w:hAnsi="Cambria" w:cs="Times New Roman"/>
          <w:noProof/>
          <w:spacing w:val="2"/>
          <w:sz w:val="23"/>
          <w:szCs w:val="24"/>
        </w:rPr>
        <w:t>ında;</w:t>
      </w:r>
    </w:p>
    <w:p w:rsidR="00D20CC0" w:rsidRPr="00524FC9" w:rsidRDefault="00EF16A5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Dəqiq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elmlər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1: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F2171" w:rsidRPr="00524FC9">
        <w:rPr>
          <w:rFonts w:ascii="Cambria" w:hAnsi="Cambria" w:cs="Times New Roman"/>
          <w:noProof/>
          <w:spacing w:val="2"/>
          <w:sz w:val="23"/>
          <w:szCs w:val="24"/>
        </w:rPr>
        <w:t>80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sual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(imtahan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müddəti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saat)</w:t>
      </w:r>
    </w:p>
    <w:p w:rsidR="00EF16A5" w:rsidRPr="00524FC9" w:rsidRDefault="00EF16A5" w:rsidP="00EF16A5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Dəqiq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elmlər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2: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80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sual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(imtahan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müddəti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2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saat)</w:t>
      </w:r>
    </w:p>
    <w:p w:rsidR="00EF16A5" w:rsidRPr="00524FC9" w:rsidRDefault="00EF16A5" w:rsidP="00EF16A5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yetərlilik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imtahanı: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50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sual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(imtahan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müddəti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1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saat)</w:t>
      </w:r>
    </w:p>
    <w:p w:rsidR="003F2171" w:rsidRPr="00524FC9" w:rsidRDefault="00EF16A5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şəklində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düzənlənəcəkdir</w:t>
      </w:r>
      <w:r w:rsidR="003F2171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3F2171" w:rsidRPr="00524FC9" w:rsidRDefault="003F2171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3F2171" w:rsidRPr="00524FC9" w:rsidRDefault="00CA12A7" w:rsidP="00F07349">
      <w:pPr>
        <w:spacing w:after="0" w:line="242" w:lineRule="auto"/>
        <w:jc w:val="both"/>
        <w:rPr>
          <w:rFonts w:ascii="Cambria" w:hAnsi="Cambria" w:cs="Times New Roman"/>
          <w:b/>
          <w:bCs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Türkiy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ali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müəssisələrinin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h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B907E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hansı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s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vi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y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y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sind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alacaq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xarici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ölkə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vətəndaşı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tələbələrin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giriş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iqamət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(yaşayış)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izni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işl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ü</w:t>
      </w:r>
      <w:r w:rsidR="00B907E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çün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lazım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olanlar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Ölkə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xaricində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görüləcək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işl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pas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port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şl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ri)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Ö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miz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g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lişl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tibar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görüləcək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işl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iq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işl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ri)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İ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zk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(izni)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aldı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qd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sonra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görüləcək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işl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ildirim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şl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ri)</w:t>
      </w:r>
    </w:p>
    <w:p w:rsidR="00B907E4" w:rsidRPr="00524FC9" w:rsidRDefault="00B907E4" w:rsidP="00F07349">
      <w:pPr>
        <w:spacing w:after="0" w:line="242" w:lineRule="auto"/>
        <w:jc w:val="both"/>
        <w:rPr>
          <w:rFonts w:ascii="Cambria" w:hAnsi="Cambria" w:cs="Times New Roman"/>
          <w:bCs/>
          <w:noProof/>
          <w:spacing w:val="2"/>
          <w:sz w:val="23"/>
          <w:szCs w:val="24"/>
        </w:rPr>
      </w:pPr>
    </w:p>
    <w:p w:rsidR="003F2171" w:rsidRPr="00524FC9" w:rsidRDefault="00B907E4" w:rsidP="00F07349">
      <w:pPr>
        <w:spacing w:after="0" w:line="242" w:lineRule="auto"/>
        <w:jc w:val="both"/>
        <w:rPr>
          <w:rFonts w:ascii="Cambria" w:hAnsi="Cambria" w:cs="Times New Roman"/>
          <w:b/>
          <w:bCs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Ölkə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x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aricində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g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örəcəkləri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şlər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(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pas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port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şl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ri)</w:t>
      </w:r>
    </w:p>
    <w:p w:rsidR="00D20CC0" w:rsidRPr="00524FC9" w:rsidRDefault="00D41716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niv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rsit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eti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miz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müraciət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xarici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ölkə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vətəndaşı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tələbələrin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ünvanlarına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namələri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gönd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rilir.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namələri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əsasında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ö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lk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rinin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aidiyyatlı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orqan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larına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müraciət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edərək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öz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rin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pas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port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alırlar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D20CC0" w:rsidRPr="00524FC9" w:rsidRDefault="00CA12A7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Türkiy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müddətində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yaşayışını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təmin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edəcək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maddi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imk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nlara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olduğunu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göst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sənəd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(bank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h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sabı,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təqaüd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sənədi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vb)</w:t>
      </w:r>
    </w:p>
    <w:p w:rsidR="00CA12A7" w:rsidRPr="00524FC9" w:rsidRDefault="00DA57FA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Lazım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gəldiyində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lav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sənəd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edilə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bil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r.</w:t>
      </w:r>
    </w:p>
    <w:p w:rsidR="00B907E4" w:rsidRPr="00524FC9" w:rsidRDefault="00B907E4" w:rsidP="00F07349">
      <w:pPr>
        <w:spacing w:after="0" w:line="242" w:lineRule="auto"/>
        <w:jc w:val="both"/>
        <w:rPr>
          <w:rFonts w:ascii="Cambria" w:hAnsi="Cambria" w:cs="Times New Roman"/>
          <w:bCs/>
          <w:noProof/>
          <w:spacing w:val="2"/>
          <w:sz w:val="23"/>
          <w:szCs w:val="24"/>
        </w:rPr>
      </w:pPr>
    </w:p>
    <w:p w:rsidR="003F2171" w:rsidRPr="00524FC9" w:rsidRDefault="00D41716" w:rsidP="00F07349">
      <w:pPr>
        <w:spacing w:after="0" w:line="242" w:lineRule="auto"/>
        <w:jc w:val="both"/>
        <w:rPr>
          <w:rFonts w:ascii="Cambria" w:hAnsi="Cambria" w:cs="Times New Roman"/>
          <w:b/>
          <w:bCs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Ö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lk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miz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g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lişl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rind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e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tibar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g</w:t>
      </w:r>
      <w:r w:rsidR="00B907E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ö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rəcəkləri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şl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(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q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şl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ri)</w:t>
      </w:r>
    </w:p>
    <w:p w:rsidR="00CA12A7" w:rsidRPr="00524FC9" w:rsidRDefault="00CA12A7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Türkiy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giril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tari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xd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tibar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g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ec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30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gün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iç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risind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aşağıdak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sənədlər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birlik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alınacaq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vilayətin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öç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(miqrasiya)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İdar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Müd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rl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iyi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yabancılar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(əcnəbilər)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ş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ö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sin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mürac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iə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yabancılara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(əcnəbilər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əx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sus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zk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(izni)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alınması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41716" w:rsidRPr="00524FC9">
        <w:rPr>
          <w:rFonts w:ascii="Cambria" w:hAnsi="Cambria" w:cs="Times New Roman"/>
          <w:noProof/>
          <w:spacing w:val="2"/>
          <w:sz w:val="23"/>
          <w:szCs w:val="24"/>
        </w:rPr>
        <w:t>məcburidir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012941" w:rsidRPr="00524FC9" w:rsidRDefault="00D41716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91E53" w:rsidRPr="00524FC9">
        <w:rPr>
          <w:rFonts w:ascii="Cambria" w:hAnsi="Cambria" w:cs="Times New Roman"/>
          <w:noProof/>
          <w:spacing w:val="2"/>
          <w:sz w:val="23"/>
          <w:szCs w:val="24"/>
        </w:rPr>
        <w:t>Ali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91E53" w:rsidRPr="00524FC9">
        <w:rPr>
          <w:rFonts w:ascii="Cambria" w:hAnsi="Cambria" w:cs="Times New Roman"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91E53" w:rsidRPr="00524FC9">
        <w:rPr>
          <w:rFonts w:ascii="Cambria" w:hAnsi="Cambria" w:cs="Times New Roman"/>
          <w:noProof/>
          <w:spacing w:val="2"/>
          <w:sz w:val="23"/>
          <w:szCs w:val="24"/>
        </w:rPr>
        <w:t>müəssisəsindən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aldı</w:t>
      </w:r>
      <w:r w:rsidR="00391E53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ları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91E53" w:rsidRPr="00524FC9">
        <w:rPr>
          <w:rFonts w:ascii="Cambria" w:hAnsi="Cambria" w:cs="Times New Roman"/>
          <w:noProof/>
          <w:spacing w:val="2"/>
          <w:sz w:val="23"/>
          <w:szCs w:val="24"/>
        </w:rPr>
        <w:t>qeydiyyat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/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91E53" w:rsidRPr="00524FC9">
        <w:rPr>
          <w:rFonts w:ascii="Cambria" w:hAnsi="Cambria" w:cs="Times New Roman"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91E53" w:rsidRPr="00524FC9">
        <w:rPr>
          <w:rFonts w:ascii="Cambria" w:hAnsi="Cambria" w:cs="Times New Roman"/>
          <w:noProof/>
          <w:spacing w:val="2"/>
          <w:sz w:val="23"/>
          <w:szCs w:val="24"/>
        </w:rPr>
        <w:t>sənədi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91E53" w:rsidRPr="00524FC9">
        <w:rPr>
          <w:rFonts w:ascii="Cambria" w:hAnsi="Cambria" w:cs="Times New Roman"/>
          <w:noProof/>
          <w:spacing w:val="2"/>
          <w:sz w:val="23"/>
          <w:szCs w:val="24"/>
        </w:rPr>
        <w:t>buna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uyğun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bir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391E53" w:rsidRPr="00524FC9">
        <w:rPr>
          <w:rFonts w:ascii="Cambria" w:hAnsi="Cambria" w:cs="Times New Roman"/>
          <w:noProof/>
          <w:spacing w:val="2"/>
          <w:sz w:val="23"/>
          <w:szCs w:val="24"/>
        </w:rPr>
        <w:t>sənəd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</w:p>
    <w:p w:rsidR="00012941" w:rsidRPr="00524FC9" w:rsidRDefault="00391E53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Qüvvədə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olan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uzun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müddətli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pas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port,</w:t>
      </w:r>
    </w:p>
    <w:p w:rsidR="00012941" w:rsidRPr="00524FC9" w:rsidRDefault="00391E53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lastRenderedPageBreak/>
        <w:t>c.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Türkiy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müddətində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yaşamını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təmin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edəcək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maddi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imkanlara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olduğunu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göst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sənəd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(bank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h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sabı,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təqaüd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sənədi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),</w:t>
      </w:r>
    </w:p>
    <w:p w:rsidR="00012941" w:rsidRPr="00524FC9" w:rsidRDefault="00391E53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H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il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əvvəlində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420BB9" w:rsidRPr="00524FC9">
        <w:rPr>
          <w:rFonts w:ascii="Cambria" w:hAnsi="Cambria" w:cs="Times New Roman"/>
          <w:noProof/>
          <w:spacing w:val="2"/>
          <w:sz w:val="23"/>
          <w:szCs w:val="24"/>
        </w:rPr>
        <w:t>“R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smi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420BB9" w:rsidRPr="00524FC9">
        <w:rPr>
          <w:rFonts w:ascii="Cambria" w:hAnsi="Cambria" w:cs="Times New Roman"/>
          <w:noProof/>
          <w:spacing w:val="2"/>
          <w:sz w:val="23"/>
          <w:szCs w:val="24"/>
        </w:rPr>
        <w:t>G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</w:t>
      </w:r>
      <w:r w:rsidR="00420BB9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420BB9" w:rsidRPr="00524FC9">
        <w:rPr>
          <w:rFonts w:ascii="Cambria" w:hAnsi="Cambria" w:cs="Times New Roman"/>
          <w:noProof/>
          <w:spacing w:val="2"/>
          <w:sz w:val="23"/>
          <w:szCs w:val="24"/>
        </w:rPr>
        <w:t>e”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yayınlanan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420BB9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zk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(izni)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420BB9" w:rsidRPr="00524FC9">
        <w:rPr>
          <w:rFonts w:ascii="Cambria" w:hAnsi="Cambria" w:cs="Times New Roman"/>
          <w:noProof/>
          <w:spacing w:val="2"/>
          <w:sz w:val="23"/>
          <w:szCs w:val="24"/>
        </w:rPr>
        <w:t>y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kağı</w:t>
      </w:r>
      <w:r w:rsidR="00420BB9" w:rsidRPr="00524FC9">
        <w:rPr>
          <w:rFonts w:ascii="Cambria" w:hAnsi="Cambria" w:cs="Times New Roman"/>
          <w:noProof/>
          <w:spacing w:val="2"/>
          <w:sz w:val="23"/>
          <w:szCs w:val="24"/>
        </w:rPr>
        <w:t>z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x</w:t>
      </w:r>
      <w:r w:rsidR="00420BB9" w:rsidRPr="00524FC9">
        <w:rPr>
          <w:rFonts w:ascii="Cambria" w:hAnsi="Cambria" w:cs="Times New Roman"/>
          <w:noProof/>
          <w:spacing w:val="2"/>
          <w:sz w:val="23"/>
          <w:szCs w:val="24"/>
        </w:rPr>
        <w:t>ər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c</w:t>
      </w:r>
      <w:r w:rsidR="00420BB9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</w:p>
    <w:p w:rsidR="00012941" w:rsidRPr="00524FC9" w:rsidRDefault="00420BB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Lazım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gəldiyində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əlavə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sənədlər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tələb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edilə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bilər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B907E4" w:rsidRPr="00524FC9" w:rsidRDefault="00B907E4" w:rsidP="00F07349">
      <w:pPr>
        <w:spacing w:after="0" w:line="242" w:lineRule="auto"/>
        <w:jc w:val="both"/>
        <w:rPr>
          <w:rFonts w:ascii="Cambria" w:hAnsi="Cambria" w:cs="Times New Roman"/>
          <w:bCs/>
          <w:noProof/>
          <w:spacing w:val="2"/>
          <w:sz w:val="23"/>
          <w:szCs w:val="24"/>
        </w:rPr>
      </w:pPr>
    </w:p>
    <w:p w:rsidR="003F2171" w:rsidRPr="00524FC9" w:rsidRDefault="00CA12A7" w:rsidP="00F07349">
      <w:pPr>
        <w:spacing w:after="0" w:line="242" w:lineRule="auto"/>
        <w:jc w:val="both"/>
        <w:rPr>
          <w:rFonts w:ascii="Cambria" w:hAnsi="Cambria" w:cs="Times New Roman"/>
          <w:b/>
          <w:bCs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İ</w:t>
      </w:r>
      <w:r w:rsidR="00420BB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q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zk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(izni)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ldı</w:t>
      </w:r>
      <w:r w:rsidR="00420BB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qd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an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s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onra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g</w:t>
      </w:r>
      <w:r w:rsidR="00420BB9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ör</w:t>
      </w:r>
      <w:r w:rsidR="00B907E4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əcəkləri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şl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(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b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ildiri</w:t>
      </w:r>
      <w:r w:rsidR="00DA57FA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ş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i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şl</w:t>
      </w:r>
      <w:r w:rsidR="001E2D5E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ri)</w:t>
      </w:r>
    </w:p>
    <w:p w:rsidR="00012941" w:rsidRPr="00524FC9" w:rsidRDefault="00420BB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məqsədli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zk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(izni)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beynəlxalq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CA12A7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1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gün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içində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ilayət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Köç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İdarəsi</w:t>
      </w:r>
      <w:r w:rsidR="00DA57FA" w:rsidRPr="00524FC9">
        <w:rPr>
          <w:rFonts w:ascii="Cambria" w:hAnsi="Cambria" w:cs="Times New Roman"/>
          <w:noProof/>
          <w:spacing w:val="2"/>
          <w:sz w:val="23"/>
          <w:szCs w:val="24"/>
        </w:rPr>
        <w:t>ndən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şəxsiyyət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96691" w:rsidRPr="00524FC9">
        <w:rPr>
          <w:rFonts w:ascii="Cambria" w:hAnsi="Cambria" w:cs="Times New Roman"/>
          <w:noProof/>
          <w:spacing w:val="2"/>
          <w:sz w:val="23"/>
          <w:szCs w:val="24"/>
        </w:rPr>
        <w:t>nömrələrini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(TC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kimlik)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almaları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lazımdır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012941" w:rsidRPr="00524FC9" w:rsidRDefault="00694E66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İ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zk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müddətini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uzatmak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ist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y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xarici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ölkə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vətəndaşı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tələbələrin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zk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müəyyənləşdirilən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müddətin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başa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çatma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sın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önc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başa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çatmasından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g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15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gün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iç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risind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2103" w:rsidRPr="00524FC9">
        <w:rPr>
          <w:rFonts w:ascii="Cambria" w:hAnsi="Cambria" w:cs="Times New Roman"/>
          <w:noProof/>
          <w:spacing w:val="2"/>
          <w:sz w:val="23"/>
          <w:szCs w:val="24"/>
        </w:rPr>
        <w:t>vilayət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öç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İdar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Müd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rl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mürac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müddətlərini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uzatmaları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lazımdır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012941" w:rsidRPr="00524FC9" w:rsidRDefault="00694E66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c.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zuni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y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t,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qeydiyyat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sildirm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tələbəliklə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bağlılığın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silm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vamsızlı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aşqa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hall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rd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ydana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g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c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işiklikl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15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gün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iç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risind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ünvan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işikli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48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saat</w:t>
      </w:r>
      <w:r w:rsidR="000D0FDF" w:rsidRPr="00524FC9">
        <w:rPr>
          <w:rFonts w:ascii="Cambria" w:hAnsi="Cambria" w:cs="Times New Roman"/>
          <w:bCs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iç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risind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2103" w:rsidRPr="00524FC9">
        <w:rPr>
          <w:rFonts w:ascii="Cambria" w:hAnsi="Cambria" w:cs="Times New Roman"/>
          <w:noProof/>
          <w:spacing w:val="2"/>
          <w:sz w:val="23"/>
          <w:szCs w:val="24"/>
        </w:rPr>
        <w:t>vilayət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öç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İdar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Müd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rl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yinə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bildirilm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lazımdır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012941" w:rsidRPr="00524FC9" w:rsidRDefault="00694E66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d.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İ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zk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silin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azın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ma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zk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itirilməsi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durumunda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rhal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2103" w:rsidRPr="00524FC9">
        <w:rPr>
          <w:rFonts w:ascii="Cambria" w:hAnsi="Cambria" w:cs="Times New Roman"/>
          <w:noProof/>
          <w:spacing w:val="2"/>
          <w:sz w:val="23"/>
          <w:szCs w:val="24"/>
        </w:rPr>
        <w:t>vilayət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öç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İdar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Müd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rl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iyi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mürac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il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y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nisinin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alınması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lazımdır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012941" w:rsidRPr="00524FC9" w:rsidRDefault="00694E66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e.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Tələbələr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2103" w:rsidRPr="00524FC9">
        <w:rPr>
          <w:rFonts w:ascii="Cambria" w:hAnsi="Cambria" w:cs="Times New Roman"/>
          <w:noProof/>
          <w:spacing w:val="2"/>
          <w:sz w:val="23"/>
          <w:szCs w:val="24"/>
        </w:rPr>
        <w:t>vilayət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Köç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İdarəsi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müdirliyində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iqamət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işləri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şəxsiyyət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nömrəsi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işlərini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bitirdikdən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sonra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qeydiyyatdan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B907E4" w:rsidRPr="00524FC9">
        <w:rPr>
          <w:rFonts w:ascii="Cambria" w:hAnsi="Cambria" w:cs="Times New Roman"/>
          <w:noProof/>
          <w:spacing w:val="2"/>
          <w:sz w:val="23"/>
          <w:szCs w:val="24"/>
        </w:rPr>
        <w:t>keç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mək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istədikləri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universitetdən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müvəqqəti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sənədi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a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laraq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vilayət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Sosial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Yardım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İdarəsinə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müraciət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edərək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ümımi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sağlıq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sığortalarını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həyata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keçirmələri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84A2F" w:rsidRPr="00524FC9">
        <w:rPr>
          <w:rFonts w:ascii="Cambria" w:hAnsi="Cambria" w:cs="Times New Roman"/>
          <w:noProof/>
          <w:spacing w:val="2"/>
          <w:sz w:val="23"/>
          <w:szCs w:val="24"/>
        </w:rPr>
        <w:t>lazımdır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5700AD" w:rsidRPr="00524FC9" w:rsidRDefault="005700AD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3F2171" w:rsidRPr="00524FC9" w:rsidRDefault="00694E66" w:rsidP="00F07349">
      <w:pPr>
        <w:spacing w:after="0" w:line="242" w:lineRule="auto"/>
        <w:jc w:val="both"/>
        <w:rPr>
          <w:rFonts w:ascii="Cambria" w:hAnsi="Cambria" w:cs="Times New Roman"/>
          <w:b/>
          <w:bCs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QƏTİ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QEYDİYYAT</w:t>
      </w:r>
      <w:r w:rsidR="000D0FDF"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bCs/>
          <w:noProof/>
          <w:spacing w:val="2"/>
          <w:sz w:val="23"/>
          <w:szCs w:val="24"/>
        </w:rPr>
        <w:t>MÜDDƏTİ</w:t>
      </w:r>
    </w:p>
    <w:p w:rsidR="00FD2DE9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U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niv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rsit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eti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miz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qəti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qeydiyyat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ha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qq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azanan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tələbələrə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müvəqqəti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sənəd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v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e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2103" w:rsidRPr="00524FC9">
        <w:rPr>
          <w:rFonts w:ascii="Cambria" w:hAnsi="Cambria" w:cs="Times New Roman"/>
          <w:noProof/>
          <w:spacing w:val="2"/>
          <w:sz w:val="23"/>
          <w:szCs w:val="24"/>
        </w:rPr>
        <w:t>vilayət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öç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İdar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Müd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rl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iyi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gönd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İ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zk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(izni)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düz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irilir.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İqamət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təzkərəsi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düzənlənən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tələbələrə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vilayət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Köç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İdarəsi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Müdirliyi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kimlik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(şəxsiyyət)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nömrəsini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1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gün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içində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A3203E" w:rsidRPr="00524FC9">
        <w:rPr>
          <w:rFonts w:ascii="Cambria" w:hAnsi="Cambria" w:cs="Times New Roman"/>
          <w:noProof/>
          <w:spacing w:val="2"/>
          <w:sz w:val="23"/>
          <w:szCs w:val="24"/>
        </w:rPr>
        <w:t>verir.</w:t>
      </w:r>
    </w:p>
    <w:p w:rsidR="00C00104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İqamət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təzkərəsi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yabançı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kimlik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nömrəsi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malik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tələbələrə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təkrar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müvəqqəti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sənədi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düzənlənərək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Sosial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Yardım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İdarəsi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vilayət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müdirli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yin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ümumi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sağlıq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sığortalarını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həyata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keçirmək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üçün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göndərilir.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Ü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mumi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sağlıq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sığortası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işləri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1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gün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içində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tamamlanır.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İ</w:t>
      </w:r>
      <w:r w:rsidR="00694E66" w:rsidRPr="00524FC9">
        <w:rPr>
          <w:rFonts w:ascii="Cambria" w:hAnsi="Cambria" w:cs="Times New Roman"/>
          <w:noProof/>
          <w:spacing w:val="2"/>
          <w:sz w:val="23"/>
          <w:szCs w:val="24"/>
        </w:rPr>
        <w:t>q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am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t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zk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TC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kimlik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nömrəsi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ümumi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sağlıq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sığortası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işlərini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tamamlayan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tələbənin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sistemə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qəti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qeydiyyatı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gerçəkləşdirilir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012941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Qəti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qeydiyyatı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gerçəkləşdirilən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tələbələr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şəxsi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papkaları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ilgili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birim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işl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ş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ö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rin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gönd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rilir.</w:t>
      </w:r>
    </w:p>
    <w:p w:rsidR="00D20CC0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Qəti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qeydiyyat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müddəti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bit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ik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sonra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qəti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qeydiyyatdan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keçən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tələbələrin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bilgil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2103" w:rsidRPr="00524FC9">
        <w:rPr>
          <w:rFonts w:ascii="Cambria" w:hAnsi="Cambria" w:cs="Times New Roman"/>
          <w:noProof/>
          <w:spacing w:val="2"/>
          <w:sz w:val="23"/>
          <w:szCs w:val="24"/>
        </w:rPr>
        <w:t>vilayət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K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öç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İdar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Müd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E6004F" w:rsidRPr="00524FC9">
        <w:rPr>
          <w:rFonts w:ascii="Cambria" w:hAnsi="Cambria" w:cs="Times New Roman"/>
          <w:noProof/>
          <w:spacing w:val="2"/>
          <w:sz w:val="23"/>
          <w:szCs w:val="24"/>
        </w:rPr>
        <w:t>rl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iyi</w:t>
      </w:r>
      <w:r w:rsidR="00B61A55" w:rsidRPr="00524FC9">
        <w:rPr>
          <w:rFonts w:ascii="Cambria" w:hAnsi="Cambria" w:cs="Times New Roman"/>
          <w:noProof/>
          <w:spacing w:val="2"/>
          <w:sz w:val="23"/>
          <w:szCs w:val="24"/>
        </w:rPr>
        <w:t>nə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Sos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al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Yardım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C00104" w:rsidRPr="00524FC9">
        <w:rPr>
          <w:rFonts w:ascii="Cambria" w:hAnsi="Cambria" w:cs="Times New Roman"/>
          <w:noProof/>
          <w:spacing w:val="2"/>
          <w:sz w:val="23"/>
          <w:szCs w:val="24"/>
        </w:rPr>
        <w:t>İdarəsi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722103" w:rsidRPr="00524FC9">
        <w:rPr>
          <w:rFonts w:ascii="Cambria" w:hAnsi="Cambria" w:cs="Times New Roman"/>
          <w:noProof/>
          <w:spacing w:val="2"/>
          <w:sz w:val="23"/>
          <w:szCs w:val="24"/>
        </w:rPr>
        <w:t>vilayət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C7E6B" w:rsidRPr="00524FC9">
        <w:rPr>
          <w:rFonts w:ascii="Cambria" w:hAnsi="Cambria" w:cs="Times New Roman"/>
          <w:noProof/>
          <w:spacing w:val="2"/>
          <w:sz w:val="23"/>
          <w:szCs w:val="24"/>
        </w:rPr>
        <w:t>m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üd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rl</w:t>
      </w:r>
      <w:r w:rsidR="00825E50" w:rsidRPr="00524FC9">
        <w:rPr>
          <w:rFonts w:ascii="Cambria" w:hAnsi="Cambria" w:cs="Times New Roman"/>
          <w:noProof/>
          <w:spacing w:val="2"/>
          <w:sz w:val="23"/>
          <w:szCs w:val="24"/>
        </w:rPr>
        <w:t>i</w:t>
      </w:r>
      <w:r w:rsidR="00B61A55" w:rsidRPr="00524FC9">
        <w:rPr>
          <w:rFonts w:ascii="Cambria" w:hAnsi="Cambria" w:cs="Times New Roman"/>
          <w:noProof/>
          <w:spacing w:val="2"/>
          <w:sz w:val="23"/>
          <w:szCs w:val="24"/>
        </w:rPr>
        <w:t>yin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üst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yazı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il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gönd</w:t>
      </w:r>
      <w:r w:rsidR="001E2D5E"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FA0522" w:rsidRPr="00524FC9">
        <w:rPr>
          <w:rFonts w:ascii="Cambria" w:hAnsi="Cambria" w:cs="Times New Roman"/>
          <w:noProof/>
          <w:spacing w:val="2"/>
          <w:sz w:val="23"/>
          <w:szCs w:val="24"/>
        </w:rPr>
        <w:t>rilir.</w:t>
      </w:r>
    </w:p>
    <w:p w:rsidR="00D72066" w:rsidRPr="00524FC9" w:rsidRDefault="00D72066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D72066" w:rsidRPr="00524FC9" w:rsidRDefault="00D72066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b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ƏCNƏBİ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QEYDİYYAT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SƏNƏDLƏRİ</w:t>
      </w:r>
    </w:p>
    <w:p w:rsidR="00104EF9" w:rsidRPr="00524FC9" w:rsidRDefault="00104EF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D72066" w:rsidRPr="00524FC9" w:rsidRDefault="00FD2DE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Litsey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(orta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təhsil)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diplomunun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əsli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ölkələrindəki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səfirliyi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konsulluğundan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təsdiqli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01BB9" w:rsidRPr="00524FC9">
        <w:rPr>
          <w:rFonts w:ascii="Cambria" w:hAnsi="Cambria" w:cs="Times New Roman"/>
          <w:noProof/>
          <w:spacing w:val="2"/>
          <w:sz w:val="23"/>
          <w:szCs w:val="24"/>
        </w:rPr>
        <w:t>nümunəsi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</w:p>
    <w:p w:rsidR="00D72066" w:rsidRPr="00524FC9" w:rsidRDefault="00FD2DE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Litsey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(orta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təhsil)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diplomunun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əsli,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Türk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litseylərindən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alınan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diplomlara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olduğunu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göstərən,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Milli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Nazirliyi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ölkələrindəki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səfirliyindən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alınacaq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dənklik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sənədi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</w:p>
    <w:p w:rsidR="00D72066" w:rsidRPr="00524FC9" w:rsidRDefault="00FD2DE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Qiymət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sənədinin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əsli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ölkələrindəki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səfirliyi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konsulluğundan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təsdiqli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örnəyi,</w:t>
      </w:r>
    </w:p>
    <w:p w:rsidR="00D72066" w:rsidRPr="00524FC9" w:rsidRDefault="00FD2DE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İmtahan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nəticələri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sənədinin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əsli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ölkələrindəki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səfirliyi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konsulluğundan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təsdiqli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örnəyi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(KÜNİB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imtahanına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girmişsə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istənir),</w:t>
      </w:r>
    </w:p>
    <w:p w:rsidR="00D72066" w:rsidRPr="00524FC9" w:rsidRDefault="00FD2DE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lastRenderedPageBreak/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Rəsmi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şəxsiyyət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kartının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da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pasportun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kimlik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bilgilərini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göstərən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səhifəsinin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ölkələrindəki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səfirliyi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da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konsulluğundan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təsdiqli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örnəyi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,</w:t>
      </w:r>
    </w:p>
    <w:p w:rsidR="00D72066" w:rsidRPr="00524FC9" w:rsidRDefault="00FD2DE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Qatqı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payının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ödəndiyinin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göstərən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bank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dekontu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(qeydiyyat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zamanı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istənir),</w:t>
      </w:r>
    </w:p>
    <w:p w:rsidR="00D72066" w:rsidRPr="00524FC9" w:rsidRDefault="00FD2DE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104EF9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Abituriyentin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maddi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imkanlarının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ölkəmizdə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ali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təhsil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ala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biləcək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səviyyədə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olduğunun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sənədləşdirilməsi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(Türkiyə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hüdudları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içərisində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göstərən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her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hansı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dövlət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bankında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tələbəyə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aid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hesabda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2000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USD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pul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olması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lazımdır)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.</w:t>
      </w:r>
    </w:p>
    <w:p w:rsidR="00D72066" w:rsidRPr="00524FC9" w:rsidRDefault="00FD2DE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Beynəlxalq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qüvvədə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olan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xarici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dil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sənədi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Türkcə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yetərlilik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sənədinin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ölkələrindəki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Türkiyə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5B5A62" w:rsidRPr="00524FC9">
        <w:rPr>
          <w:rFonts w:ascii="Cambria" w:hAnsi="Cambria" w:cs="Times New Roman"/>
          <w:noProof/>
          <w:spacing w:val="2"/>
          <w:sz w:val="23"/>
          <w:szCs w:val="24"/>
        </w:rPr>
        <w:t>Respublikası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səfirliyi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ya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da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konsulluğundan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təsdiqli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örnəyi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(varsa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istənir),</w:t>
      </w:r>
    </w:p>
    <w:p w:rsidR="00D72066" w:rsidRPr="00524FC9" w:rsidRDefault="00FD2DE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·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10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ədəd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vəsiqəlık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foto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D72066" w:rsidRPr="00524FC9">
        <w:rPr>
          <w:rFonts w:ascii="Cambria" w:hAnsi="Cambria" w:cs="Times New Roman"/>
          <w:noProof/>
          <w:spacing w:val="2"/>
          <w:sz w:val="23"/>
          <w:szCs w:val="24"/>
        </w:rPr>
        <w:t>şəkil.</w:t>
      </w:r>
    </w:p>
    <w:p w:rsidR="00FD2DE9" w:rsidRPr="00524FC9" w:rsidRDefault="00FD2DE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D72066" w:rsidRPr="00524FC9" w:rsidRDefault="00D72066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Cs w:val="24"/>
        </w:rPr>
      </w:pPr>
      <w:r w:rsidRPr="00524FC9">
        <w:rPr>
          <w:rFonts w:ascii="Cambria" w:hAnsi="Cambria" w:cs="Times New Roman"/>
          <w:b/>
          <w:noProof/>
          <w:spacing w:val="2"/>
          <w:szCs w:val="24"/>
        </w:rPr>
        <w:t>TC</w:t>
      </w:r>
      <w:r w:rsidR="000D0FDF" w:rsidRPr="00524FC9">
        <w:rPr>
          <w:rFonts w:ascii="Cambria" w:hAnsi="Cambria" w:cs="Times New Roman"/>
          <w:b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Cs w:val="24"/>
        </w:rPr>
        <w:t>kimlik</w:t>
      </w:r>
      <w:r w:rsidR="000D0FDF" w:rsidRPr="00524FC9">
        <w:rPr>
          <w:rFonts w:ascii="Cambria" w:hAnsi="Cambria" w:cs="Times New Roman"/>
          <w:b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Cs w:val="24"/>
        </w:rPr>
        <w:t>nömrəsi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(Türkiyədə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vilay</w:t>
      </w:r>
      <w:r w:rsidR="00861569" w:rsidRPr="00524FC9">
        <w:rPr>
          <w:rFonts w:ascii="Cambria" w:hAnsi="Cambria" w:cs="Times New Roman"/>
          <w:noProof/>
          <w:spacing w:val="2"/>
          <w:szCs w:val="24"/>
        </w:rPr>
        <w:t>ət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="00861569" w:rsidRPr="00524FC9">
        <w:rPr>
          <w:rFonts w:ascii="Cambria" w:hAnsi="Cambria" w:cs="Times New Roman"/>
          <w:noProof/>
          <w:spacing w:val="2"/>
          <w:szCs w:val="24"/>
        </w:rPr>
        <w:t>Köç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="00861569" w:rsidRPr="00524FC9">
        <w:rPr>
          <w:rFonts w:ascii="Cambria" w:hAnsi="Cambria" w:cs="Times New Roman"/>
          <w:noProof/>
          <w:spacing w:val="2"/>
          <w:szCs w:val="24"/>
        </w:rPr>
        <w:t>İdarəsi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="00861569" w:rsidRPr="00524FC9">
        <w:rPr>
          <w:rFonts w:ascii="Cambria" w:hAnsi="Cambria" w:cs="Times New Roman"/>
          <w:noProof/>
          <w:spacing w:val="2"/>
          <w:szCs w:val="24"/>
        </w:rPr>
        <w:t>Müdirliyi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="00861569" w:rsidRPr="00524FC9">
        <w:rPr>
          <w:rFonts w:ascii="Cambria" w:hAnsi="Cambria" w:cs="Times New Roman"/>
          <w:noProof/>
          <w:spacing w:val="2"/>
          <w:szCs w:val="24"/>
        </w:rPr>
        <w:t>tərəfindən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="00861569" w:rsidRPr="00524FC9">
        <w:rPr>
          <w:rFonts w:ascii="Cambria" w:hAnsi="Cambria" w:cs="Times New Roman"/>
          <w:noProof/>
          <w:spacing w:val="2"/>
          <w:szCs w:val="24"/>
        </w:rPr>
        <w:t>1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="00861569" w:rsidRPr="00524FC9">
        <w:rPr>
          <w:rFonts w:ascii="Cambria" w:hAnsi="Cambria" w:cs="Times New Roman"/>
          <w:noProof/>
          <w:spacing w:val="2"/>
          <w:szCs w:val="24"/>
        </w:rPr>
        <w:t>gün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="00861569" w:rsidRPr="00524FC9">
        <w:rPr>
          <w:rFonts w:ascii="Cambria" w:hAnsi="Cambria" w:cs="Times New Roman"/>
          <w:noProof/>
          <w:spacing w:val="2"/>
          <w:szCs w:val="24"/>
        </w:rPr>
        <w:t>içində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="00861569" w:rsidRPr="00524FC9">
        <w:rPr>
          <w:rFonts w:ascii="Cambria" w:hAnsi="Cambria" w:cs="Times New Roman"/>
          <w:noProof/>
          <w:spacing w:val="2"/>
          <w:szCs w:val="24"/>
        </w:rPr>
        <w:t>təmin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="00861569" w:rsidRPr="00524FC9">
        <w:rPr>
          <w:rFonts w:ascii="Cambria" w:hAnsi="Cambria" w:cs="Times New Roman"/>
          <w:noProof/>
          <w:spacing w:val="2"/>
          <w:szCs w:val="24"/>
        </w:rPr>
        <w:t>edilir).</w:t>
      </w:r>
    </w:p>
    <w:p w:rsidR="004E7368" w:rsidRPr="00524FC9" w:rsidRDefault="004E7368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b/>
          <w:noProof/>
          <w:spacing w:val="2"/>
          <w:szCs w:val="24"/>
        </w:rPr>
      </w:pPr>
    </w:p>
    <w:p w:rsidR="00861569" w:rsidRPr="00524FC9" w:rsidRDefault="00861569" w:rsidP="00F07349">
      <w:pPr>
        <w:tabs>
          <w:tab w:val="left" w:pos="720"/>
        </w:tabs>
        <w:spacing w:after="0" w:line="242" w:lineRule="auto"/>
        <w:jc w:val="both"/>
        <w:rPr>
          <w:rFonts w:ascii="Cambria" w:hAnsi="Cambria" w:cs="Times New Roman"/>
          <w:noProof/>
          <w:spacing w:val="2"/>
          <w:szCs w:val="24"/>
        </w:rPr>
      </w:pPr>
      <w:r w:rsidRPr="00524FC9">
        <w:rPr>
          <w:rFonts w:ascii="Cambria" w:hAnsi="Cambria" w:cs="Times New Roman"/>
          <w:b/>
          <w:noProof/>
          <w:spacing w:val="2"/>
          <w:szCs w:val="24"/>
        </w:rPr>
        <w:t>Ümumi</w:t>
      </w:r>
      <w:r w:rsidR="000D0FDF" w:rsidRPr="00524FC9">
        <w:rPr>
          <w:rFonts w:ascii="Cambria" w:hAnsi="Cambria" w:cs="Times New Roman"/>
          <w:b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Cs w:val="24"/>
        </w:rPr>
        <w:t>sağlıq</w:t>
      </w:r>
      <w:r w:rsidR="000D0FDF" w:rsidRPr="00524FC9">
        <w:rPr>
          <w:rFonts w:ascii="Cambria" w:hAnsi="Cambria" w:cs="Times New Roman"/>
          <w:b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Cs w:val="24"/>
        </w:rPr>
        <w:t>sığortası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(Türkiyədə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Sosial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Yardım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İdarəsi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tərəfindən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1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gün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içində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təmin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edilir).</w:t>
      </w:r>
    </w:p>
    <w:p w:rsidR="00861569" w:rsidRPr="00524FC9" w:rsidRDefault="0086156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D62A13" w:rsidRPr="00524FC9" w:rsidRDefault="00D62A13" w:rsidP="00104EF9">
      <w:pPr>
        <w:pStyle w:val="ListeParagraf"/>
        <w:spacing w:after="0" w:line="242" w:lineRule="auto"/>
        <w:ind w:left="0"/>
        <w:contextualSpacing w:val="0"/>
        <w:jc w:val="center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UNİVERSİTETİ</w:t>
      </w:r>
    </w:p>
    <w:p w:rsidR="00D62A13" w:rsidRPr="00524FC9" w:rsidRDefault="00D62A13" w:rsidP="00104EF9">
      <w:pPr>
        <w:pStyle w:val="ListeParagraf"/>
        <w:spacing w:after="0" w:line="242" w:lineRule="auto"/>
        <w:ind w:left="0"/>
        <w:contextualSpacing w:val="0"/>
        <w:jc w:val="center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ƏCNƏBİ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İMTAHANINA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BƏRABƏR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QƏBUL</w:t>
      </w:r>
      <w:r w:rsidR="000D0FDF"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b/>
          <w:noProof/>
          <w:spacing w:val="2"/>
          <w:sz w:val="23"/>
          <w:szCs w:val="24"/>
        </w:rPr>
        <w:t>EDİLƏN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İMTAHANLAR</w:t>
      </w:r>
    </w:p>
    <w:p w:rsidR="00041AB6" w:rsidRPr="00524FC9" w:rsidRDefault="00041AB6" w:rsidP="00F07349">
      <w:pPr>
        <w:pStyle w:val="ListeParagraf"/>
        <w:spacing w:after="0" w:line="242" w:lineRule="auto"/>
        <w:ind w:left="0"/>
        <w:contextualSpacing w:val="0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218"/>
        <w:gridCol w:w="1422"/>
        <w:gridCol w:w="1479"/>
      </w:tblGrid>
      <w:tr w:rsidR="004E7368" w:rsidRPr="00524FC9" w:rsidTr="004E7368">
        <w:trPr>
          <w:trHeight w:val="150"/>
          <w:jc w:val="center"/>
        </w:trPr>
        <w:tc>
          <w:tcPr>
            <w:tcW w:w="4218" w:type="dxa"/>
            <w:vAlign w:val="center"/>
            <w:hideMark/>
          </w:tcPr>
          <w:p w:rsidR="004E7368" w:rsidRPr="00524FC9" w:rsidRDefault="004E7368" w:rsidP="00104EF9">
            <w:pPr>
              <w:spacing w:after="0"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universitet</w:t>
            </w:r>
            <w:r w:rsidR="000D0FDF"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 xml:space="preserve"> </w:t>
            </w: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adı</w:t>
            </w:r>
          </w:p>
        </w:tc>
        <w:tc>
          <w:tcPr>
            <w:tcW w:w="1422" w:type="dxa"/>
            <w:vAlign w:val="center"/>
            <w:hideMark/>
          </w:tcPr>
          <w:p w:rsidR="004E7368" w:rsidRPr="00524FC9" w:rsidRDefault="004E7368" w:rsidP="00104EF9">
            <w:pPr>
              <w:spacing w:after="0"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imtahan</w:t>
            </w:r>
            <w:r w:rsidR="000D0FDF"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 xml:space="preserve"> </w:t>
            </w: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adı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104EF9">
            <w:pPr>
              <w:spacing w:after="0"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senato</w:t>
            </w:r>
            <w:r w:rsidR="000D0FDF"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 xml:space="preserve"> </w:t>
            </w: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tarihi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  <w:hideMark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İstanbul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  <w:hideMark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İÜYÖS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07.03.2018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Marmara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MÜYÖS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22.03.2017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Osmangazi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OGÜYÖS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26.06.2013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Atatürk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ATAYÖS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09.03.2016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Süleyman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Dəmirəl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SDÜYÖS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14.03.2017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Dumlupınar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DPÜYÖS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07.02.2018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19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Mayıs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OMÜYÖS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07.02.2018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Akdəniz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AKÜS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07.03.2018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Kocaeli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KOÜYÖS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20.02.2017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Mersin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MEYÖS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20.02.2017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Erciyes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ERÜYÖS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20.02.2017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İstanbul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Gedik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GEDİKYÖS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07.03.2017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Ankara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11.05.2018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Pamukkale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PAÜYÖS</w:t>
            </w:r>
          </w:p>
        </w:tc>
        <w:tc>
          <w:tcPr>
            <w:tcW w:w="1479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07.02.2018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Manisa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Celal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Bayar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MCBÜYÖS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07</w:t>
            </w:r>
            <w:r w:rsidR="004E7368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.0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3</w:t>
            </w:r>
            <w:r w:rsidR="004E7368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.201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8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Mustafa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Kemal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MKÜYÖS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10.04.2017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Yüzüncü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Yıl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YYÜYÖS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10.04.2017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Gebze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Teknik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F07349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GTÜYÖS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25.08.2017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Kastamonu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040DBF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KÜYÖS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27.12.2017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040DBF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Uludağ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4E7368" w:rsidP="00040DBF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ULUYÖS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07.02.2018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040DBF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Uşak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551396" w:rsidP="00551396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</w:t>
            </w:r>
            <w:r w:rsidR="004E7368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ÜYÖS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19.04.2016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040DBF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İğdır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551396" w:rsidP="00551396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I</w:t>
            </w:r>
            <w:r w:rsidR="004E7368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ÜYÖS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19.04.2016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İstanbul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Yeni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Yüzyıl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551396" w:rsidP="00551396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İYY</w:t>
            </w:r>
            <w:r w:rsidR="004E7368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ÜYÖS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11.05.2018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Alanya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Alaaddin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Keykubat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551396" w:rsidP="00040DBF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ALK</w:t>
            </w:r>
            <w:r w:rsidR="004E7368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ÜYÖS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11.05.2018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Recep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Tayyip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Erdoğan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551396" w:rsidP="00040DBF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RT</w:t>
            </w:r>
            <w:r w:rsidR="004E7368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ÜYÖS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11.05.2018</w:t>
            </w:r>
          </w:p>
        </w:tc>
      </w:tr>
      <w:tr w:rsidR="004E7368" w:rsidRPr="00524FC9" w:rsidTr="004E7368">
        <w:trPr>
          <w:jc w:val="center"/>
        </w:trPr>
        <w:tc>
          <w:tcPr>
            <w:tcW w:w="4218" w:type="dxa"/>
            <w:vAlign w:val="center"/>
          </w:tcPr>
          <w:p w:rsidR="004E7368" w:rsidRPr="00524FC9" w:rsidRDefault="004E7368" w:rsidP="004E7368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Erzurum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Teknik</w:t>
            </w:r>
            <w:r w:rsidR="000D0FDF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Universiteti</w:t>
            </w:r>
          </w:p>
        </w:tc>
        <w:tc>
          <w:tcPr>
            <w:tcW w:w="1422" w:type="dxa"/>
            <w:vAlign w:val="center"/>
          </w:tcPr>
          <w:p w:rsidR="004E7368" w:rsidRPr="00524FC9" w:rsidRDefault="00551396" w:rsidP="00040DBF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E</w:t>
            </w:r>
            <w:r w:rsidR="004E7368"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TÜYÖS</w:t>
            </w:r>
          </w:p>
        </w:tc>
        <w:tc>
          <w:tcPr>
            <w:tcW w:w="1479" w:type="dxa"/>
            <w:vAlign w:val="center"/>
          </w:tcPr>
          <w:p w:rsidR="004E7368" w:rsidRPr="00524FC9" w:rsidRDefault="0098146E" w:rsidP="0098146E">
            <w:pPr>
              <w:spacing w:after="0" w:line="242" w:lineRule="auto"/>
              <w:jc w:val="both"/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</w:pPr>
            <w:r w:rsidRPr="00524FC9">
              <w:rPr>
                <w:rFonts w:ascii="Cambria" w:hAnsi="Cambria" w:cs="Times New Roman"/>
                <w:noProof/>
                <w:spacing w:val="2"/>
                <w:sz w:val="23"/>
                <w:szCs w:val="24"/>
              </w:rPr>
              <w:t>11.05.2018</w:t>
            </w:r>
          </w:p>
        </w:tc>
      </w:tr>
    </w:tbl>
    <w:p w:rsidR="000147C8" w:rsidRPr="00524FC9" w:rsidRDefault="000147C8" w:rsidP="000147C8">
      <w:pPr>
        <w:spacing w:after="0" w:line="242" w:lineRule="auto"/>
        <w:jc w:val="both"/>
        <w:rPr>
          <w:rFonts w:ascii="Cambria" w:hAnsi="Cambria" w:cs="Times New Roman"/>
          <w:noProof/>
          <w:spacing w:val="2"/>
          <w:szCs w:val="24"/>
        </w:rPr>
      </w:pPr>
      <w:r w:rsidRPr="00524FC9">
        <w:rPr>
          <w:rFonts w:ascii="Cambria" w:hAnsi="Cambria" w:cs="Times New Roman"/>
          <w:noProof/>
          <w:spacing w:val="2"/>
          <w:szCs w:val="24"/>
        </w:rPr>
        <w:t>Qeyd: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Müraciət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etmək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istəyən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tələbələr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əcnəbi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müraciət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formasını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dolduraraq,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qeydiyyat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üçün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lazımi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sənədləriylə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birlikdə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aşağıda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verilən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mail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ünvanlarına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mail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yaza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bilərlər.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Tələbələr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müraciət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etdikdən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sonra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tələbələrin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mail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ünvanlarına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və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ev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ünvanlarına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Universitetimiz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tərəfindən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hazırlanan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qəbul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dəvətnaməsi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göndəriləcəyi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üçün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tələbələrin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irtibat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bilgilərini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doğru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göstərmələri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önəmlə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xahiş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olunur:</w:t>
      </w:r>
      <w:r w:rsidR="000D0FDF" w:rsidRPr="00524FC9">
        <w:rPr>
          <w:rFonts w:ascii="Cambria" w:hAnsi="Cambria" w:cs="Times New Roman"/>
          <w:noProof/>
          <w:spacing w:val="2"/>
          <w:szCs w:val="24"/>
        </w:rPr>
        <w:t xml:space="preserve"> </w:t>
      </w:r>
      <w:r w:rsidRPr="00524FC9">
        <w:rPr>
          <w:rFonts w:ascii="Cambria" w:hAnsi="Cambria" w:cs="Times New Roman"/>
          <w:noProof/>
          <w:spacing w:val="2"/>
          <w:szCs w:val="24"/>
        </w:rPr>
        <w:t>www.ogrenci@ardahan.edu.tr</w:t>
      </w:r>
    </w:p>
    <w:p w:rsidR="00D62A13" w:rsidRPr="00524FC9" w:rsidRDefault="00D62A13" w:rsidP="00F07349">
      <w:pPr>
        <w:spacing w:after="0" w:line="242" w:lineRule="auto"/>
        <w:jc w:val="both"/>
        <w:rPr>
          <w:rFonts w:ascii="Cambria" w:hAnsi="Cambria" w:cs="Times New Roman"/>
          <w:bCs/>
          <w:noProof/>
          <w:spacing w:val="2"/>
          <w:sz w:val="23"/>
          <w:szCs w:val="24"/>
        </w:rPr>
      </w:pPr>
    </w:p>
    <w:p w:rsidR="00FD2DE9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bCs/>
          <w:noProof/>
          <w:spacing w:val="2"/>
          <w:sz w:val="23"/>
          <w:szCs w:val="24"/>
        </w:rPr>
      </w:pPr>
    </w:p>
    <w:p w:rsidR="00FD2DE9" w:rsidRPr="00524FC9" w:rsidRDefault="00FD2DE9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2B6407" w:rsidRPr="00524FC9" w:rsidRDefault="00041AB6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  <w:r w:rsidRPr="00524FC9">
        <w:rPr>
          <w:rFonts w:ascii="Cambria" w:hAnsi="Cambria" w:cs="Times New Roman"/>
          <w:noProof/>
          <w:spacing w:val="2"/>
          <w:sz w:val="23"/>
          <w:szCs w:val="24"/>
        </w:rPr>
        <w:t>Ə</w:t>
      </w:r>
      <w:r w:rsidR="002B6407" w:rsidRPr="00524FC9">
        <w:rPr>
          <w:rFonts w:ascii="Cambria" w:hAnsi="Cambria" w:cs="Times New Roman"/>
          <w:noProof/>
          <w:spacing w:val="2"/>
          <w:sz w:val="23"/>
          <w:szCs w:val="24"/>
        </w:rPr>
        <w:t>RDAHAN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2B6407" w:rsidRPr="00524FC9">
        <w:rPr>
          <w:rFonts w:ascii="Cambria" w:hAnsi="Cambria" w:cs="Times New Roman"/>
          <w:noProof/>
          <w:spacing w:val="2"/>
          <w:sz w:val="23"/>
          <w:szCs w:val="24"/>
        </w:rPr>
        <w:t>UNİVERSİTETİ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2B6407" w:rsidRPr="00524FC9">
        <w:rPr>
          <w:rFonts w:ascii="Cambria" w:hAnsi="Cambria" w:cs="Times New Roman"/>
          <w:noProof/>
          <w:spacing w:val="2"/>
          <w:sz w:val="23"/>
          <w:szCs w:val="24"/>
        </w:rPr>
        <w:t>201</w:t>
      </w:r>
      <w:r w:rsidR="000147C8" w:rsidRPr="00524FC9">
        <w:rPr>
          <w:rFonts w:ascii="Cambria" w:hAnsi="Cambria" w:cs="Times New Roman"/>
          <w:noProof/>
          <w:spacing w:val="2"/>
          <w:sz w:val="23"/>
          <w:szCs w:val="24"/>
        </w:rPr>
        <w:t>8</w:t>
      </w:r>
      <w:r w:rsidR="002B6407" w:rsidRPr="00524FC9">
        <w:rPr>
          <w:rFonts w:ascii="Cambria" w:hAnsi="Cambria" w:cs="Times New Roman"/>
          <w:noProof/>
          <w:spacing w:val="2"/>
          <w:sz w:val="23"/>
          <w:szCs w:val="24"/>
        </w:rPr>
        <w:t>–201</w:t>
      </w:r>
      <w:r w:rsidR="000147C8" w:rsidRPr="00524FC9">
        <w:rPr>
          <w:rFonts w:ascii="Cambria" w:hAnsi="Cambria" w:cs="Times New Roman"/>
          <w:noProof/>
          <w:spacing w:val="2"/>
          <w:sz w:val="23"/>
          <w:szCs w:val="24"/>
        </w:rPr>
        <w:t>9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2B6407" w:rsidRPr="00524FC9">
        <w:rPr>
          <w:rFonts w:ascii="Cambria" w:hAnsi="Cambria" w:cs="Times New Roman"/>
          <w:noProof/>
          <w:spacing w:val="2"/>
          <w:sz w:val="23"/>
          <w:szCs w:val="24"/>
        </w:rPr>
        <w:t>TƏDRİS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2B6407" w:rsidRPr="00524FC9">
        <w:rPr>
          <w:rFonts w:ascii="Cambria" w:hAnsi="Cambria" w:cs="Times New Roman"/>
          <w:noProof/>
          <w:spacing w:val="2"/>
          <w:sz w:val="23"/>
          <w:szCs w:val="24"/>
        </w:rPr>
        <w:t>İLİ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2B6407" w:rsidRPr="00524FC9">
        <w:rPr>
          <w:rFonts w:ascii="Cambria" w:hAnsi="Cambria" w:cs="Times New Roman"/>
          <w:noProof/>
          <w:spacing w:val="2"/>
          <w:sz w:val="23"/>
          <w:szCs w:val="24"/>
        </w:rPr>
        <w:t>ƏCNƏBİ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2B6407" w:rsidRPr="00524FC9">
        <w:rPr>
          <w:rFonts w:ascii="Cambria" w:hAnsi="Cambria" w:cs="Times New Roman"/>
          <w:noProof/>
          <w:spacing w:val="2"/>
          <w:sz w:val="23"/>
          <w:szCs w:val="24"/>
        </w:rPr>
        <w:t>TƏLƏBƏ</w:t>
      </w:r>
      <w:r w:rsidR="000D0FDF" w:rsidRPr="00524FC9">
        <w:rPr>
          <w:rFonts w:ascii="Cambria" w:hAnsi="Cambria" w:cs="Times New Roman"/>
          <w:noProof/>
          <w:spacing w:val="2"/>
          <w:sz w:val="23"/>
          <w:szCs w:val="24"/>
        </w:rPr>
        <w:t xml:space="preserve"> </w:t>
      </w:r>
      <w:r w:rsidR="002B6407" w:rsidRPr="00524FC9">
        <w:rPr>
          <w:rFonts w:ascii="Cambria" w:hAnsi="Cambria" w:cs="Times New Roman"/>
          <w:noProof/>
          <w:spacing w:val="2"/>
          <w:sz w:val="23"/>
          <w:szCs w:val="24"/>
        </w:rPr>
        <w:t>KONT</w:t>
      </w:r>
      <w:r w:rsidRPr="00524FC9">
        <w:rPr>
          <w:rFonts w:ascii="Cambria" w:hAnsi="Cambria" w:cs="Times New Roman"/>
          <w:noProof/>
          <w:spacing w:val="2"/>
          <w:sz w:val="23"/>
          <w:szCs w:val="24"/>
        </w:rPr>
        <w:t>İ</w:t>
      </w:r>
      <w:r w:rsidR="002B6407" w:rsidRPr="00524FC9">
        <w:rPr>
          <w:rFonts w:ascii="Cambria" w:hAnsi="Cambria" w:cs="Times New Roman"/>
          <w:noProof/>
          <w:spacing w:val="2"/>
          <w:sz w:val="23"/>
          <w:szCs w:val="24"/>
        </w:rPr>
        <w:t>NGENTLƏRİ</w:t>
      </w:r>
    </w:p>
    <w:tbl>
      <w:tblPr>
        <w:tblStyle w:val="TabloKlavuzu"/>
        <w:tblW w:w="89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12"/>
        <w:gridCol w:w="1288"/>
        <w:gridCol w:w="828"/>
        <w:gridCol w:w="1981"/>
      </w:tblGrid>
      <w:tr w:rsidR="005037BD" w:rsidRPr="00524FC9" w:rsidTr="00104EF9">
        <w:trPr>
          <w:jc w:val="center"/>
        </w:trPr>
        <w:tc>
          <w:tcPr>
            <w:tcW w:w="4812" w:type="dxa"/>
            <w:vAlign w:val="center"/>
          </w:tcPr>
          <w:p w:rsidR="002B6407" w:rsidRPr="00524FC9" w:rsidRDefault="00041AB6" w:rsidP="00104EF9">
            <w:pPr>
              <w:spacing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b</w:t>
            </w:r>
            <w:r w:rsidR="002B6407"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irim</w:t>
            </w:r>
          </w:p>
        </w:tc>
        <w:tc>
          <w:tcPr>
            <w:tcW w:w="1288" w:type="dxa"/>
            <w:vAlign w:val="center"/>
          </w:tcPr>
          <w:p w:rsidR="00A11869" w:rsidRPr="00524FC9" w:rsidRDefault="002B6407" w:rsidP="00104EF9">
            <w:pPr>
              <w:spacing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ə</w:t>
            </w:r>
            <w:r w:rsidR="00A11869"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cnəbi</w:t>
            </w:r>
          </w:p>
          <w:p w:rsidR="002B6407" w:rsidRPr="00524FC9" w:rsidRDefault="002B6407" w:rsidP="00104EF9">
            <w:pPr>
              <w:spacing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kontingenti</w:t>
            </w:r>
          </w:p>
        </w:tc>
        <w:tc>
          <w:tcPr>
            <w:tcW w:w="828" w:type="dxa"/>
            <w:vAlign w:val="center"/>
          </w:tcPr>
          <w:p w:rsidR="00A11869" w:rsidRPr="00524FC9" w:rsidRDefault="00A11869" w:rsidP="00104EF9">
            <w:pPr>
              <w:spacing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bal</w:t>
            </w:r>
          </w:p>
          <w:p w:rsidR="002B6407" w:rsidRPr="00524FC9" w:rsidRDefault="002B6407" w:rsidP="00104EF9">
            <w:pPr>
              <w:spacing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növü</w:t>
            </w:r>
          </w:p>
        </w:tc>
        <w:tc>
          <w:tcPr>
            <w:tcW w:w="1981" w:type="dxa"/>
            <w:vAlign w:val="center"/>
          </w:tcPr>
          <w:p w:rsidR="002B6407" w:rsidRPr="00524FC9" w:rsidRDefault="002B6407" w:rsidP="00104EF9">
            <w:pPr>
              <w:spacing w:line="242" w:lineRule="auto"/>
              <w:jc w:val="center"/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</w:pP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imtahan</w:t>
            </w:r>
            <w:r w:rsidR="000D0FDF"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 xml:space="preserve"> </w:t>
            </w:r>
            <w:r w:rsidRPr="00524FC9">
              <w:rPr>
                <w:rFonts w:ascii="Cambria" w:hAnsi="Cambria" w:cs="Times New Roman"/>
                <w:i/>
                <w:noProof/>
                <w:spacing w:val="2"/>
                <w:sz w:val="21"/>
                <w:szCs w:val="21"/>
              </w:rPr>
              <w:t>növü</w:t>
            </w:r>
          </w:p>
        </w:tc>
      </w:tr>
      <w:tr w:rsidR="005037BD" w:rsidRPr="00524FC9" w:rsidTr="00104EF9">
        <w:trPr>
          <w:jc w:val="center"/>
        </w:trPr>
        <w:tc>
          <w:tcPr>
            <w:tcW w:w="4812" w:type="dxa"/>
            <w:vAlign w:val="center"/>
          </w:tcPr>
          <w:p w:rsidR="005037BD" w:rsidRPr="00524FC9" w:rsidRDefault="00041AB6" w:rsidP="00F07349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</w:t>
            </w:r>
            <w:r w:rsidR="00123A91" w:rsidRPr="00524FC9">
              <w:rPr>
                <w:rFonts w:ascii="Cambria" w:hAnsi="Cambria" w:cs="Times New Roman"/>
                <w:noProof/>
                <w:spacing w:val="2"/>
              </w:rPr>
              <w:t>rdahan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5037BD" w:rsidRPr="00524FC9">
              <w:rPr>
                <w:rFonts w:ascii="Cambria" w:hAnsi="Cambria" w:cs="Times New Roman"/>
                <w:noProof/>
                <w:spacing w:val="2"/>
              </w:rPr>
              <w:t>Humanitar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5037BD" w:rsidRPr="00524FC9">
              <w:rPr>
                <w:rFonts w:ascii="Cambria" w:hAnsi="Cambria" w:cs="Times New Roman"/>
                <w:noProof/>
                <w:spacing w:val="2"/>
              </w:rPr>
              <w:t>və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5037BD" w:rsidRPr="00524FC9">
              <w:rPr>
                <w:rFonts w:ascii="Cambria" w:hAnsi="Cambria" w:cs="Times New Roman"/>
                <w:noProof/>
                <w:spacing w:val="2"/>
              </w:rPr>
              <w:t>Sosial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5037BD" w:rsidRPr="00524FC9">
              <w:rPr>
                <w:rFonts w:ascii="Cambria" w:hAnsi="Cambria" w:cs="Times New Roman"/>
                <w:noProof/>
                <w:spacing w:val="2"/>
              </w:rPr>
              <w:t>Elmlər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123A91" w:rsidRPr="00524FC9">
              <w:rPr>
                <w:rFonts w:ascii="Cambria" w:hAnsi="Cambria" w:cs="Times New Roman"/>
                <w:noProof/>
                <w:spacing w:val="2"/>
              </w:rPr>
              <w:t>Fakültəsi</w:t>
            </w:r>
          </w:p>
          <w:p w:rsidR="002B6407" w:rsidRPr="00524FC9" w:rsidRDefault="002B6407" w:rsidP="00F07349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Arxeolo</w:t>
            </w:r>
            <w:r w:rsidR="00E4043C" w:rsidRPr="00524FC9">
              <w:rPr>
                <w:rFonts w:ascii="Cambria" w:hAnsi="Cambria" w:cs="Times New Roman"/>
                <w:noProof/>
                <w:spacing w:val="2"/>
              </w:rPr>
              <w:t>giya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proqramı</w:t>
            </w:r>
          </w:p>
        </w:tc>
        <w:tc>
          <w:tcPr>
            <w:tcW w:w="1288" w:type="dxa"/>
            <w:vAlign w:val="center"/>
          </w:tcPr>
          <w:p w:rsidR="002B6407" w:rsidRPr="00524FC9" w:rsidRDefault="00040DBF" w:rsidP="00104EF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30</w:t>
            </w:r>
          </w:p>
        </w:tc>
        <w:tc>
          <w:tcPr>
            <w:tcW w:w="828" w:type="dxa"/>
            <w:vAlign w:val="center"/>
          </w:tcPr>
          <w:p w:rsidR="002B6407" w:rsidRPr="00524FC9" w:rsidRDefault="002B6407" w:rsidP="00104EF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041AB6" w:rsidRPr="00524FC9" w:rsidRDefault="00A11869" w:rsidP="00104EF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1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+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2B6407" w:rsidRPr="00524FC9">
              <w:rPr>
                <w:rFonts w:ascii="Cambria" w:hAnsi="Cambria" w:cs="Times New Roman"/>
                <w:noProof/>
                <w:spacing w:val="2"/>
              </w:rPr>
              <w:t>Türkcə</w:t>
            </w:r>
          </w:p>
          <w:p w:rsidR="002B6407" w:rsidRPr="00524FC9" w:rsidRDefault="002B6407" w:rsidP="00104EF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imtahanı</w:t>
            </w:r>
          </w:p>
        </w:tc>
      </w:tr>
      <w:tr w:rsidR="005037BD" w:rsidRPr="00524FC9" w:rsidTr="00104EF9">
        <w:trPr>
          <w:jc w:val="center"/>
        </w:trPr>
        <w:tc>
          <w:tcPr>
            <w:tcW w:w="4812" w:type="dxa"/>
            <w:vAlign w:val="center"/>
          </w:tcPr>
          <w:p w:rsidR="00123A91" w:rsidRPr="00524FC9" w:rsidRDefault="00041AB6" w:rsidP="00F07349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</w:t>
            </w:r>
            <w:r w:rsidR="005037BD" w:rsidRPr="00524FC9">
              <w:rPr>
                <w:rFonts w:ascii="Cambria" w:hAnsi="Cambria" w:cs="Times New Roman"/>
                <w:noProof/>
                <w:spacing w:val="2"/>
              </w:rPr>
              <w:t>rdahan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5037BD" w:rsidRPr="00524FC9">
              <w:rPr>
                <w:rFonts w:ascii="Cambria" w:hAnsi="Cambria" w:cs="Times New Roman"/>
                <w:noProof/>
                <w:spacing w:val="2"/>
              </w:rPr>
              <w:t>Humanitar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5037BD" w:rsidRPr="00524FC9">
              <w:rPr>
                <w:rFonts w:ascii="Cambria" w:hAnsi="Cambria" w:cs="Times New Roman"/>
                <w:noProof/>
                <w:spacing w:val="2"/>
              </w:rPr>
              <w:t>və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5037BD" w:rsidRPr="00524FC9">
              <w:rPr>
                <w:rFonts w:ascii="Cambria" w:hAnsi="Cambria" w:cs="Times New Roman"/>
                <w:noProof/>
                <w:spacing w:val="2"/>
              </w:rPr>
              <w:t>Sosial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5037BD" w:rsidRPr="00524FC9">
              <w:rPr>
                <w:rFonts w:ascii="Cambria" w:hAnsi="Cambria" w:cs="Times New Roman"/>
                <w:noProof/>
                <w:spacing w:val="2"/>
              </w:rPr>
              <w:t>Elmlər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5037BD" w:rsidRPr="00524FC9">
              <w:rPr>
                <w:rFonts w:ascii="Cambria" w:hAnsi="Cambria" w:cs="Times New Roman"/>
                <w:noProof/>
                <w:spacing w:val="2"/>
              </w:rPr>
              <w:t>Fakültəsi</w:t>
            </w:r>
          </w:p>
          <w:p w:rsidR="002B6407" w:rsidRPr="00524FC9" w:rsidRDefault="00276DA2" w:rsidP="00F07349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S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ə</w:t>
            </w:r>
            <w:r>
              <w:rPr>
                <w:rFonts w:ascii="Cambria" w:hAnsi="Cambria" w:cs="Times New Roman"/>
                <w:noProof/>
                <w:spacing w:val="2"/>
              </w:rPr>
              <w:t>n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ə</w:t>
            </w:r>
            <w:r>
              <w:rPr>
                <w:rFonts w:ascii="Cambria" w:hAnsi="Cambria" w:cs="Times New Roman"/>
                <w:noProof/>
                <w:spacing w:val="2"/>
              </w:rPr>
              <w:t xml:space="preserve">t 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proqramı</w:t>
            </w:r>
          </w:p>
        </w:tc>
        <w:tc>
          <w:tcPr>
            <w:tcW w:w="1288" w:type="dxa"/>
            <w:vAlign w:val="center"/>
          </w:tcPr>
          <w:p w:rsidR="002B6407" w:rsidRPr="00524FC9" w:rsidRDefault="002B6407" w:rsidP="00040DBF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2</w:t>
            </w:r>
            <w:r w:rsidR="00040DBF">
              <w:rPr>
                <w:rFonts w:ascii="Cambria" w:hAnsi="Cambria" w:cs="Times New Roman"/>
                <w:noProof/>
                <w:spacing w:val="2"/>
              </w:rPr>
              <w:t>0</w:t>
            </w:r>
          </w:p>
        </w:tc>
        <w:tc>
          <w:tcPr>
            <w:tcW w:w="828" w:type="dxa"/>
            <w:vAlign w:val="center"/>
          </w:tcPr>
          <w:p w:rsidR="002B6407" w:rsidRPr="00524FC9" w:rsidRDefault="002B6407" w:rsidP="00104EF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041AB6" w:rsidRPr="00524FC9" w:rsidRDefault="00A11869" w:rsidP="00104EF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1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+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="002B6407" w:rsidRPr="00524FC9">
              <w:rPr>
                <w:rFonts w:ascii="Cambria" w:hAnsi="Cambria" w:cs="Times New Roman"/>
                <w:noProof/>
                <w:spacing w:val="2"/>
              </w:rPr>
              <w:t>Türkcə</w:t>
            </w:r>
          </w:p>
          <w:p w:rsidR="002B6407" w:rsidRPr="00524FC9" w:rsidRDefault="002B6407" w:rsidP="00104EF9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</w:t>
            </w:r>
            <w:r w:rsidR="000D0FDF" w:rsidRPr="00524FC9"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Humanitar və Sosial Elmlər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Gürcü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 xml:space="preserve"> dili ve edebiyyatı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040DBF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Humanitar və Sosial Elmlər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Coğrafiya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30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Humanitar və Sosial Elmlər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Rus dili ve edebiyyatı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15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Humanitar və Sosial Elmlər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Rus dili ve edebiyyatı proqramı</w:t>
            </w:r>
            <w:r>
              <w:rPr>
                <w:rFonts w:ascii="Cambria" w:hAnsi="Cambria" w:cs="Times New Roman"/>
                <w:noProof/>
                <w:spacing w:val="2"/>
              </w:rPr>
              <w:t xml:space="preserve"> 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(axşam təhsili)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15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Humanitar və Sosial Elmlər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Sosiologiya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20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Humanitar və Sosial Elmlər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Çağdaş Türk ləhcələri və ədəbiyyatları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25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Humanitar və Sosial Elmlər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Tarix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30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Humanitar və Sosial Elmlər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Tarix proqramı (axşam təhsili)</w:t>
            </w:r>
          </w:p>
        </w:tc>
        <w:tc>
          <w:tcPr>
            <w:tcW w:w="1288" w:type="dxa"/>
            <w:vAlign w:val="center"/>
          </w:tcPr>
          <w:p w:rsidR="00276DA2" w:rsidRPr="00524FC9" w:rsidRDefault="00040DBF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25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Humanitar və Sosial Elmlər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Türk dili və ədəbiyyatı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30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Humanitar və Sosial Elmlər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Türk dili və ədəbiyyatı proqramı (axşam təhsili)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30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Turizm Biznesi və Otelçilik Ali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Turizm biznesi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20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Sağlıq Xidmətləri Ali Peşə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Tibbi sənədləşdirmə və katiblik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B765B0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30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Sağlıq Xidmətləri Ali Peşə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Uşaq inkişafı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B765B0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2</w:t>
            </w:r>
            <w:r w:rsidR="00B765B0">
              <w:rPr>
                <w:rFonts w:ascii="Cambria" w:hAnsi="Cambria" w:cs="Times New Roman"/>
                <w:noProof/>
                <w:spacing w:val="2"/>
              </w:rPr>
              <w:t>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Sosial Elmlər Ali Peşə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Büro idarəçiliyi və idarəçi köməkçiliyi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20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Sosial Elmlər Ali Peşə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Büro idarəçiliyi və idarəçi köməkçiliyi proqramı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(axşam təhsili)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15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Sosial Elmlər Ali Peşə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Maliyyə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B765B0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1</w:t>
            </w:r>
            <w:r w:rsidR="00B765B0">
              <w:rPr>
                <w:rFonts w:ascii="Cambria" w:hAnsi="Cambria" w:cs="Times New Roman"/>
                <w:noProof/>
                <w:spacing w:val="2"/>
              </w:rPr>
              <w:t>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Sosial Elmlər Ali Peşə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Xalqla əlaqələr və tanıtım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12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Ərdahan Sosial Elmlər Ali Peşə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Tətbiqi İngiliszə və tərcüməçilik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B765B0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2</w:t>
            </w:r>
            <w:r w:rsidR="00B765B0">
              <w:rPr>
                <w:rFonts w:ascii="Cambria" w:hAnsi="Cambria" w:cs="Times New Roman"/>
                <w:noProof/>
                <w:spacing w:val="2"/>
              </w:rPr>
              <w:t>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 xml:space="preserve">Ərdahan </w:t>
            </w:r>
            <w:r>
              <w:rPr>
                <w:rFonts w:ascii="Cambria" w:hAnsi="Cambria" w:cs="Times New Roman"/>
                <w:noProof/>
                <w:spacing w:val="2"/>
              </w:rPr>
              <w:t>Texnik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 xml:space="preserve"> Elmlər Ali Peşə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Aşbazlıq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 xml:space="preserve">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B765B0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1</w:t>
            </w:r>
            <w:r w:rsidR="00B765B0">
              <w:rPr>
                <w:rFonts w:ascii="Cambria" w:hAnsi="Cambria" w:cs="Times New Roman"/>
                <w:noProof/>
                <w:spacing w:val="2"/>
              </w:rPr>
              <w:t>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 xml:space="preserve">Ərdahan </w:t>
            </w:r>
            <w:r>
              <w:rPr>
                <w:rFonts w:ascii="Cambria" w:hAnsi="Cambria" w:cs="Times New Roman"/>
                <w:noProof/>
                <w:spacing w:val="2"/>
              </w:rPr>
              <w:t>Texnik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 xml:space="preserve"> Elmlər Ali Peşə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 xml:space="preserve">Saç baxımı </w:t>
            </w:r>
            <w:r w:rsidR="00040DBF">
              <w:rPr>
                <w:rFonts w:ascii="Cambria" w:hAnsi="Cambria" w:cs="Times New Roman"/>
                <w:noProof/>
                <w:spacing w:val="2"/>
              </w:rPr>
              <w:t>v</w:t>
            </w:r>
            <w:r w:rsidR="00040DBF" w:rsidRPr="00524FC9">
              <w:rPr>
                <w:rFonts w:ascii="Cambria" w:hAnsi="Cambria" w:cs="Times New Roman"/>
                <w:noProof/>
                <w:spacing w:val="2"/>
              </w:rPr>
              <w:t>ə</w:t>
            </w:r>
            <w:r w:rsidR="00040DBF">
              <w:rPr>
                <w:rFonts w:ascii="Cambria" w:hAnsi="Cambria" w:cs="Times New Roman"/>
                <w:noProof/>
                <w:spacing w:val="2"/>
              </w:rPr>
              <w:t xml:space="preserve"> gözellik xizmetleri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 xml:space="preserve">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B765B0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1</w:t>
            </w:r>
            <w:r w:rsidR="00B765B0">
              <w:rPr>
                <w:rFonts w:ascii="Cambria" w:hAnsi="Cambria" w:cs="Times New Roman"/>
                <w:noProof/>
                <w:spacing w:val="2"/>
              </w:rPr>
              <w:t>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 xml:space="preserve">Ərdahan </w:t>
            </w:r>
            <w:r w:rsidR="00040DBF">
              <w:rPr>
                <w:rFonts w:ascii="Cambria" w:hAnsi="Cambria" w:cs="Times New Roman"/>
                <w:noProof/>
                <w:spacing w:val="2"/>
              </w:rPr>
              <w:t>Texnik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 xml:space="preserve"> Elmlər Ali Peşə Məktəbi</w:t>
            </w:r>
          </w:p>
          <w:p w:rsidR="00276DA2" w:rsidRPr="00524FC9" w:rsidRDefault="00040DBF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Sağlıq bilgi sistem</w:t>
            </w:r>
            <w:r w:rsidRPr="00524FC9">
              <w:rPr>
                <w:rFonts w:ascii="Cambria" w:hAnsi="Cambria" w:cs="Times New Roman"/>
                <w:noProof/>
                <w:spacing w:val="2"/>
              </w:rPr>
              <w:t>lər</w:t>
            </w:r>
            <w:r>
              <w:rPr>
                <w:rFonts w:ascii="Cambria" w:hAnsi="Cambria" w:cs="Times New Roman"/>
                <w:noProof/>
                <w:spacing w:val="2"/>
              </w:rPr>
              <w:t>i</w:t>
            </w:r>
            <w:r w:rsidR="00B765B0">
              <w:rPr>
                <w:rFonts w:ascii="Cambria" w:hAnsi="Cambria" w:cs="Times New Roman"/>
                <w:noProof/>
                <w:spacing w:val="2"/>
              </w:rPr>
              <w:t xml:space="preserve"> texnikerliyi</w:t>
            </w:r>
            <w:r w:rsidR="00276DA2" w:rsidRPr="00524FC9">
              <w:rPr>
                <w:rFonts w:ascii="Cambria" w:hAnsi="Cambria" w:cs="Times New Roman"/>
                <w:noProof/>
                <w:spacing w:val="2"/>
              </w:rPr>
              <w:t xml:space="preserve">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B765B0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1</w:t>
            </w:r>
            <w:r w:rsidR="00B765B0">
              <w:rPr>
                <w:rFonts w:ascii="Cambria" w:hAnsi="Cambria" w:cs="Times New Roman"/>
                <w:noProof/>
                <w:spacing w:val="2"/>
              </w:rPr>
              <w:t>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Bədən Tərbiyəsi və İdman Ali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Bədən tərbiyəsi və idman müəllimliyi proqramı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(həmçinin xüsusi bacarıq imtahanı keçirilecek)</w:t>
            </w:r>
          </w:p>
        </w:tc>
        <w:tc>
          <w:tcPr>
            <w:tcW w:w="1288" w:type="dxa"/>
            <w:vAlign w:val="center"/>
          </w:tcPr>
          <w:p w:rsidR="00276DA2" w:rsidRPr="00524FC9" w:rsidRDefault="00B7663A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2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vəya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vəya 2 +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Türkcə yetərlilik +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xüsusi bacarıq imt.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lastRenderedPageBreak/>
              <w:t>Bədən Tərbiyəsi və İdman Ali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İdman idarəçiliyi proqramı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(həmçinin xüsusi bacarıq imtahanı keçirilecek)</w:t>
            </w:r>
          </w:p>
        </w:tc>
        <w:tc>
          <w:tcPr>
            <w:tcW w:w="1288" w:type="dxa"/>
            <w:vAlign w:val="center"/>
          </w:tcPr>
          <w:p w:rsidR="00276DA2" w:rsidRPr="00524FC9" w:rsidRDefault="00B7663A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2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vəya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vəya 2 +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Türkcə yetərlilik +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xüsusi bacarıq imt.</w:t>
            </w:r>
          </w:p>
        </w:tc>
      </w:tr>
      <w:tr w:rsidR="00276DA2" w:rsidRPr="00524FC9" w:rsidTr="00104EF9">
        <w:trPr>
          <w:trHeight w:val="354"/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Bədən Tərbiyəsi və İdman Ali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İdman idarəçiliyi proqramı (axşam təhsili)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(həmçinin xüsusi bacarıq imtahanı keçirilecek)</w:t>
            </w:r>
          </w:p>
        </w:tc>
        <w:tc>
          <w:tcPr>
            <w:tcW w:w="1288" w:type="dxa"/>
            <w:vAlign w:val="center"/>
          </w:tcPr>
          <w:p w:rsidR="00276DA2" w:rsidRPr="00524FC9" w:rsidRDefault="00B7663A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2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vəya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vəya 2 +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Türkcə yetərlilik +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xüsusi bacarıq imt.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İqtisadi və İdari Elmlər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Bərabər ağırlıqlı proqramlar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B765B0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45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2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Nihat Delibalta Gölə Ali Peşə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Laborant və veterinar sağlıq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15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Posof Ali Peşə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Arıçılıq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B765B0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7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Posof Ali Peşə Mektebi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Evdə xəstəyə qulluq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15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Posof Ali Peşə Mektebi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İlk və təcili yardım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B765B0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1</w:t>
            </w:r>
            <w:r w:rsidR="00B765B0">
              <w:rPr>
                <w:rFonts w:ascii="Cambria" w:hAnsi="Cambria" w:cs="Times New Roman"/>
                <w:noProof/>
                <w:spacing w:val="2"/>
              </w:rPr>
              <w:t>7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Sağlıq Elmləri Ali Məktəbi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Sağlıq idarəçiliyi proqramı</w:t>
            </w:r>
          </w:p>
        </w:tc>
        <w:tc>
          <w:tcPr>
            <w:tcW w:w="128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25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2 + Türkcə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yetərlilik imtahanı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İncəsənət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Rəsm proqramı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(həmçinin xüsusi bacarıq imtahanı keçirilecek)</w:t>
            </w:r>
          </w:p>
        </w:tc>
        <w:tc>
          <w:tcPr>
            <w:tcW w:w="1288" w:type="dxa"/>
            <w:vAlign w:val="center"/>
          </w:tcPr>
          <w:p w:rsidR="00276DA2" w:rsidRPr="00524FC9" w:rsidRDefault="00B7663A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3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vəya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vəya 2 +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Türkcə yetərlilik +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xüsusi bacarıq imt.</w:t>
            </w:r>
          </w:p>
        </w:tc>
      </w:tr>
      <w:tr w:rsidR="00276DA2" w:rsidRPr="00524FC9" w:rsidTr="00104EF9">
        <w:trPr>
          <w:jc w:val="center"/>
        </w:trPr>
        <w:tc>
          <w:tcPr>
            <w:tcW w:w="4812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İncəsənət Fakültəsi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Türk musiqisi təməl elmləri proqramı</w:t>
            </w:r>
          </w:p>
          <w:p w:rsidR="00276DA2" w:rsidRPr="00524FC9" w:rsidRDefault="00276DA2" w:rsidP="00276DA2">
            <w:pPr>
              <w:spacing w:line="242" w:lineRule="auto"/>
              <w:jc w:val="both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(həmçinin xüsusi bacarıq imtahanı keçirilecek)</w:t>
            </w:r>
          </w:p>
        </w:tc>
        <w:tc>
          <w:tcPr>
            <w:tcW w:w="1288" w:type="dxa"/>
            <w:vAlign w:val="center"/>
          </w:tcPr>
          <w:p w:rsidR="00276DA2" w:rsidRPr="00524FC9" w:rsidRDefault="00B7663A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>
              <w:rPr>
                <w:rFonts w:ascii="Cambria" w:hAnsi="Cambria" w:cs="Times New Roman"/>
                <w:noProof/>
                <w:spacing w:val="2"/>
              </w:rPr>
              <w:t>3</w:t>
            </w:r>
          </w:p>
        </w:tc>
        <w:tc>
          <w:tcPr>
            <w:tcW w:w="828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sözəl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vəya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</w:t>
            </w:r>
          </w:p>
        </w:tc>
        <w:tc>
          <w:tcPr>
            <w:tcW w:w="1981" w:type="dxa"/>
            <w:vAlign w:val="center"/>
          </w:tcPr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sayısal 1 veya 2 +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Türkcə yetərlilik +</w:t>
            </w:r>
          </w:p>
          <w:p w:rsidR="00276DA2" w:rsidRPr="00524FC9" w:rsidRDefault="00276DA2" w:rsidP="00276DA2">
            <w:pPr>
              <w:spacing w:line="242" w:lineRule="auto"/>
              <w:jc w:val="center"/>
              <w:rPr>
                <w:rFonts w:ascii="Cambria" w:hAnsi="Cambria" w:cs="Times New Roman"/>
                <w:noProof/>
                <w:spacing w:val="2"/>
              </w:rPr>
            </w:pPr>
            <w:r w:rsidRPr="00524FC9">
              <w:rPr>
                <w:rFonts w:ascii="Cambria" w:hAnsi="Cambria" w:cs="Times New Roman"/>
                <w:noProof/>
                <w:spacing w:val="2"/>
              </w:rPr>
              <w:t>xüsusi bacarıq imt.</w:t>
            </w:r>
          </w:p>
        </w:tc>
      </w:tr>
    </w:tbl>
    <w:p w:rsidR="0095558E" w:rsidRPr="00524FC9" w:rsidRDefault="0095558E" w:rsidP="00F0734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F3780B" w:rsidRPr="00524FC9" w:rsidRDefault="00F3780B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p w:rsidR="00524FC9" w:rsidRPr="00524FC9" w:rsidRDefault="00524FC9">
      <w:pPr>
        <w:spacing w:after="0" w:line="242" w:lineRule="auto"/>
        <w:jc w:val="both"/>
        <w:rPr>
          <w:rFonts w:ascii="Cambria" w:hAnsi="Cambria" w:cs="Times New Roman"/>
          <w:noProof/>
          <w:spacing w:val="2"/>
          <w:sz w:val="23"/>
          <w:szCs w:val="24"/>
        </w:rPr>
      </w:pPr>
    </w:p>
    <w:sectPr w:rsidR="00524FC9" w:rsidRPr="00524FC9" w:rsidSect="003D06D9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21" w:rsidRDefault="00007821" w:rsidP="00D01BB9">
      <w:pPr>
        <w:spacing w:after="0" w:line="240" w:lineRule="auto"/>
      </w:pPr>
      <w:r>
        <w:separator/>
      </w:r>
    </w:p>
  </w:endnote>
  <w:endnote w:type="continuationSeparator" w:id="0">
    <w:p w:rsidR="00007821" w:rsidRDefault="00007821" w:rsidP="00D01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/>
        <w:sz w:val="20"/>
      </w:rPr>
      <w:id w:val="5356969"/>
      <w:docPartObj>
        <w:docPartGallery w:val="Page Numbers (Bottom of Page)"/>
        <w:docPartUnique/>
      </w:docPartObj>
    </w:sdtPr>
    <w:sdtContent>
      <w:p w:rsidR="00040DBF" w:rsidRPr="00D01BB9" w:rsidRDefault="0052472F" w:rsidP="00D01BB9">
        <w:pPr>
          <w:pStyle w:val="Altbilgi"/>
          <w:widowControl w:val="0"/>
          <w:jc w:val="center"/>
          <w:rPr>
            <w:rFonts w:ascii="Arial" w:hAnsi="Arial"/>
            <w:sz w:val="20"/>
          </w:rPr>
        </w:pPr>
        <w:r w:rsidRPr="00D01BB9">
          <w:rPr>
            <w:rFonts w:ascii="Arial" w:hAnsi="Arial"/>
            <w:sz w:val="20"/>
          </w:rPr>
          <w:fldChar w:fldCharType="begin"/>
        </w:r>
        <w:r w:rsidR="00040DBF" w:rsidRPr="00D01BB9">
          <w:rPr>
            <w:rFonts w:ascii="Arial" w:hAnsi="Arial"/>
            <w:sz w:val="20"/>
          </w:rPr>
          <w:instrText xml:space="preserve"> PAGE   \* MERGEFORMAT </w:instrText>
        </w:r>
        <w:r w:rsidRPr="00D01BB9">
          <w:rPr>
            <w:rFonts w:ascii="Arial" w:hAnsi="Arial"/>
            <w:sz w:val="20"/>
          </w:rPr>
          <w:fldChar w:fldCharType="separate"/>
        </w:r>
        <w:r w:rsidR="00B7663A">
          <w:rPr>
            <w:rFonts w:ascii="Arial" w:hAnsi="Arial"/>
            <w:noProof/>
            <w:sz w:val="20"/>
          </w:rPr>
          <w:t>8</w:t>
        </w:r>
        <w:r w:rsidRPr="00D01BB9">
          <w:rPr>
            <w:rFonts w:ascii="Arial" w:hAnsi="Arial"/>
            <w:sz w:val="20"/>
          </w:rPr>
          <w:fldChar w:fldCharType="end"/>
        </w:r>
      </w:p>
    </w:sdtContent>
  </w:sdt>
  <w:p w:rsidR="00040DBF" w:rsidRPr="00D01BB9" w:rsidRDefault="00040DBF" w:rsidP="00D01BB9">
    <w:pPr>
      <w:pStyle w:val="Altbilgi"/>
      <w:widowControl w:val="0"/>
      <w:jc w:val="center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21" w:rsidRDefault="00007821" w:rsidP="00D01BB9">
      <w:pPr>
        <w:spacing w:after="0" w:line="240" w:lineRule="auto"/>
      </w:pPr>
      <w:r>
        <w:separator/>
      </w:r>
    </w:p>
  </w:footnote>
  <w:footnote w:type="continuationSeparator" w:id="0">
    <w:p w:rsidR="00007821" w:rsidRDefault="00007821" w:rsidP="00D01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D25"/>
    <w:multiLevelType w:val="hybridMultilevel"/>
    <w:tmpl w:val="B0AC4712"/>
    <w:lvl w:ilvl="0" w:tplc="E24E70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2C4F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BAA79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C8E3A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AC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04F3D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3A80FD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842E6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08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D17B8"/>
    <w:multiLevelType w:val="hybridMultilevel"/>
    <w:tmpl w:val="47643ABA"/>
    <w:lvl w:ilvl="0" w:tplc="48AA04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02F9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FE1F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4EEA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9AD8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ACE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FAE7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02844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12A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6D3625C"/>
    <w:multiLevelType w:val="hybridMultilevel"/>
    <w:tmpl w:val="5F022F1A"/>
    <w:lvl w:ilvl="0" w:tplc="5DD06D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B0E9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0A7F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4C23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D2E7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62D8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BC38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AA13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2C7E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CB3CBE"/>
    <w:multiLevelType w:val="hybridMultilevel"/>
    <w:tmpl w:val="1160EE5C"/>
    <w:lvl w:ilvl="0" w:tplc="FE26B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86BA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C30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8BCF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6278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6A77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38F5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8066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44B8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87F48A1"/>
    <w:multiLevelType w:val="hybridMultilevel"/>
    <w:tmpl w:val="FF8E8692"/>
    <w:lvl w:ilvl="0" w:tplc="27F656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09E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DADC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30CA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EAB2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269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0AD6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BC0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CE0E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DEE6D0C"/>
    <w:multiLevelType w:val="hybridMultilevel"/>
    <w:tmpl w:val="50F05C3A"/>
    <w:lvl w:ilvl="0" w:tplc="B9989B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8A19F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F6C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AFC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2E67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C18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A445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8A40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9CA3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1B509A0"/>
    <w:multiLevelType w:val="hybridMultilevel"/>
    <w:tmpl w:val="E7A682E8"/>
    <w:lvl w:ilvl="0" w:tplc="5FAE12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01689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18027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BDE6D1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45899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2E83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A6A51E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C220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4F10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40DD8"/>
    <w:multiLevelType w:val="hybridMultilevel"/>
    <w:tmpl w:val="85E4F1E2"/>
    <w:lvl w:ilvl="0" w:tplc="F6A6C6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9AA3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D6EE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478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263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3C33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4200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CA9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12C6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4934"/>
    <w:rsid w:val="00001223"/>
    <w:rsid w:val="0000203F"/>
    <w:rsid w:val="00006BD5"/>
    <w:rsid w:val="00007821"/>
    <w:rsid w:val="00012941"/>
    <w:rsid w:val="000147C8"/>
    <w:rsid w:val="00040DBF"/>
    <w:rsid w:val="00041AB6"/>
    <w:rsid w:val="00083B4A"/>
    <w:rsid w:val="000D0FDF"/>
    <w:rsid w:val="00104EF9"/>
    <w:rsid w:val="00123A91"/>
    <w:rsid w:val="00164FAE"/>
    <w:rsid w:val="001B3568"/>
    <w:rsid w:val="001E2D5E"/>
    <w:rsid w:val="00233252"/>
    <w:rsid w:val="00276DA2"/>
    <w:rsid w:val="002B322A"/>
    <w:rsid w:val="002B6407"/>
    <w:rsid w:val="00324E0F"/>
    <w:rsid w:val="00331AF0"/>
    <w:rsid w:val="003365EE"/>
    <w:rsid w:val="00343289"/>
    <w:rsid w:val="00344934"/>
    <w:rsid w:val="00391E53"/>
    <w:rsid w:val="00396F6A"/>
    <w:rsid w:val="003A2DC6"/>
    <w:rsid w:val="003D06D9"/>
    <w:rsid w:val="003F2171"/>
    <w:rsid w:val="00420BB9"/>
    <w:rsid w:val="00451CC3"/>
    <w:rsid w:val="00464A3F"/>
    <w:rsid w:val="00486983"/>
    <w:rsid w:val="004D11A1"/>
    <w:rsid w:val="004D7304"/>
    <w:rsid w:val="004E671C"/>
    <w:rsid w:val="004E7368"/>
    <w:rsid w:val="005037BD"/>
    <w:rsid w:val="005138E2"/>
    <w:rsid w:val="0052472F"/>
    <w:rsid w:val="00524FC9"/>
    <w:rsid w:val="00525C8E"/>
    <w:rsid w:val="005507A8"/>
    <w:rsid w:val="00551396"/>
    <w:rsid w:val="00554C48"/>
    <w:rsid w:val="005700AD"/>
    <w:rsid w:val="00584A2F"/>
    <w:rsid w:val="005B5A62"/>
    <w:rsid w:val="005F1CE3"/>
    <w:rsid w:val="006015F2"/>
    <w:rsid w:val="00611296"/>
    <w:rsid w:val="00620D37"/>
    <w:rsid w:val="00624E8E"/>
    <w:rsid w:val="00631B9C"/>
    <w:rsid w:val="0066661C"/>
    <w:rsid w:val="00694E66"/>
    <w:rsid w:val="006A3B93"/>
    <w:rsid w:val="006C69D0"/>
    <w:rsid w:val="00722103"/>
    <w:rsid w:val="00724A6A"/>
    <w:rsid w:val="00750175"/>
    <w:rsid w:val="007552BC"/>
    <w:rsid w:val="007632A4"/>
    <w:rsid w:val="00795240"/>
    <w:rsid w:val="007C786A"/>
    <w:rsid w:val="007E1738"/>
    <w:rsid w:val="00825E50"/>
    <w:rsid w:val="00861569"/>
    <w:rsid w:val="00867C8F"/>
    <w:rsid w:val="008A5339"/>
    <w:rsid w:val="008A73FD"/>
    <w:rsid w:val="008D114A"/>
    <w:rsid w:val="0095558E"/>
    <w:rsid w:val="00963BFC"/>
    <w:rsid w:val="0098146E"/>
    <w:rsid w:val="009A1D43"/>
    <w:rsid w:val="009A4340"/>
    <w:rsid w:val="009B2562"/>
    <w:rsid w:val="009C0552"/>
    <w:rsid w:val="009C5F72"/>
    <w:rsid w:val="009C6362"/>
    <w:rsid w:val="009D22C7"/>
    <w:rsid w:val="00A07DFD"/>
    <w:rsid w:val="00A11869"/>
    <w:rsid w:val="00A240AC"/>
    <w:rsid w:val="00A3203E"/>
    <w:rsid w:val="00A37715"/>
    <w:rsid w:val="00A45E10"/>
    <w:rsid w:val="00AE2EC0"/>
    <w:rsid w:val="00AE7DF9"/>
    <w:rsid w:val="00B11A7E"/>
    <w:rsid w:val="00B61A55"/>
    <w:rsid w:val="00B765B0"/>
    <w:rsid w:val="00B7663A"/>
    <w:rsid w:val="00B907E4"/>
    <w:rsid w:val="00BC14FB"/>
    <w:rsid w:val="00C00104"/>
    <w:rsid w:val="00C02C75"/>
    <w:rsid w:val="00C21778"/>
    <w:rsid w:val="00C657A2"/>
    <w:rsid w:val="00CA12A7"/>
    <w:rsid w:val="00CA1EFD"/>
    <w:rsid w:val="00CD7111"/>
    <w:rsid w:val="00CE4466"/>
    <w:rsid w:val="00D01BB9"/>
    <w:rsid w:val="00D20CC0"/>
    <w:rsid w:val="00D41589"/>
    <w:rsid w:val="00D41716"/>
    <w:rsid w:val="00D62A13"/>
    <w:rsid w:val="00D66F94"/>
    <w:rsid w:val="00D72066"/>
    <w:rsid w:val="00D97B93"/>
    <w:rsid w:val="00DA57FA"/>
    <w:rsid w:val="00DB491E"/>
    <w:rsid w:val="00DC7E6B"/>
    <w:rsid w:val="00DD2F82"/>
    <w:rsid w:val="00DE5AD8"/>
    <w:rsid w:val="00E22E62"/>
    <w:rsid w:val="00E4043C"/>
    <w:rsid w:val="00E6004F"/>
    <w:rsid w:val="00E96691"/>
    <w:rsid w:val="00EB1A4F"/>
    <w:rsid w:val="00EC5C93"/>
    <w:rsid w:val="00EE32E7"/>
    <w:rsid w:val="00EF16A5"/>
    <w:rsid w:val="00F07349"/>
    <w:rsid w:val="00F13DC8"/>
    <w:rsid w:val="00F3780B"/>
    <w:rsid w:val="00F52476"/>
    <w:rsid w:val="00F57530"/>
    <w:rsid w:val="00F62951"/>
    <w:rsid w:val="00FA0522"/>
    <w:rsid w:val="00FB2F82"/>
    <w:rsid w:val="00FB5F6B"/>
    <w:rsid w:val="00FD2DE9"/>
    <w:rsid w:val="00FF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9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D22C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C5F7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25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B640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6407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D0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01BB9"/>
  </w:style>
  <w:style w:type="paragraph" w:styleId="Altbilgi">
    <w:name w:val="footer"/>
    <w:basedOn w:val="Normal"/>
    <w:link w:val="AltbilgiChar"/>
    <w:uiPriority w:val="99"/>
    <w:unhideWhenUsed/>
    <w:rsid w:val="00D01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1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07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62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1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55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79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0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8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19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324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30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72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69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789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395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96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1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59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52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1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0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81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0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1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791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41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5962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2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63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28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49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24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2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71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68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0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68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31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96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58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616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419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40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3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663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00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89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56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68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14DC5-201B-492B-91B8-84655FD8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ogrenci</dc:creator>
  <cp:lastModifiedBy>ogrenci</cp:lastModifiedBy>
  <cp:revision>2</cp:revision>
  <dcterms:created xsi:type="dcterms:W3CDTF">2018-06-27T11:18:00Z</dcterms:created>
  <dcterms:modified xsi:type="dcterms:W3CDTF">2018-06-27T11:18:00Z</dcterms:modified>
</cp:coreProperties>
</file>